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5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053"/>
        <w:gridCol w:w="2517"/>
      </w:tblGrid>
      <w:tr>
        <w:trPr>
          <w:trHeight w:val="1719" w:hRule="atLeast"/>
        </w:trPr>
        <w:tc>
          <w:tcPr>
            <w:tcW w:w="7053" w:type="dxa"/>
            <w:tcBorders/>
          </w:tcPr>
          <w:p>
            <w:pPr>
              <w:pStyle w:val="Normal"/>
              <w:jc w:val="both"/>
              <w:rPr>
                <w:rFonts w:eastAsia="Arial Unicode MS"/>
                <w:b/>
                <w:bCs/>
                <w:color w:val="0000E6"/>
                <w:u w:val="none" w:color="0B308C"/>
                <w:lang w:val="en-US"/>
              </w:rPr>
            </w:pPr>
            <w:r>
              <w:rPr>
                <w:rFonts w:eastAsia="Arial Unicode MS"/>
                <w:b/>
                <w:bCs/>
                <w:color w:val="0000E6"/>
                <w:u w:val="none" w:color="0B308C"/>
                <w:lang w:val="en-US"/>
              </w:rPr>
            </w:r>
          </w:p>
          <w:p>
            <w:pPr>
              <w:pStyle w:val="Normal"/>
              <w:jc w:val="both"/>
              <w:rPr>
                <w:rFonts w:eastAsia="Arial Unicode MS"/>
                <w:b/>
                <w:bCs/>
                <w:color w:val="0000E6"/>
                <w:u w:val="none" w:color="0B308C"/>
              </w:rPr>
            </w:pPr>
            <w:r>
              <w:rPr>
                <w:rFonts w:eastAsia="Arial Unicode MS"/>
                <w:b/>
                <w:bCs/>
                <w:color w:val="0000E6"/>
                <w:u w:val="none" w:color="0B308C"/>
              </w:rPr>
            </w:r>
          </w:p>
          <w:p>
            <w:pPr>
              <w:pStyle w:val="Normal"/>
              <w:jc w:val="both"/>
              <w:rPr>
                <w:rFonts w:eastAsia="Arial Unicode MS"/>
                <w:b/>
                <w:bCs/>
                <w:color w:val="0000E6"/>
                <w:u w:val="none" w:color="0B308C"/>
              </w:rPr>
            </w:pPr>
            <w:r>
              <w:rPr>
                <w:rFonts w:eastAsia="Arial Unicode MS"/>
                <w:b/>
                <w:bCs/>
                <w:color w:val="0000E6"/>
                <w:u w:val="none" w:color="0B308C"/>
              </w:rPr>
              <w:t xml:space="preserve">ПРЕСС-РЕЛИЗ   </w:t>
            </w:r>
          </w:p>
          <w:p>
            <w:pPr>
              <w:pStyle w:val="Normal"/>
              <w:jc w:val="both"/>
              <w:rPr>
                <w:rFonts w:eastAsia="Arial Unicode MS"/>
                <w:b/>
                <w:bCs/>
                <w:color w:val="0000E6"/>
                <w:u w:val="none" w:color="0B308C"/>
              </w:rPr>
            </w:pPr>
            <w:r>
              <w:rPr>
                <w:rFonts w:eastAsia="Arial Unicode MS"/>
                <w:b/>
                <w:bCs/>
                <w:color w:val="0000E6"/>
                <w:u w:val="none" w:color="0B308C"/>
              </w:rPr>
              <w:t xml:space="preserve">                                                                         </w:t>
            </w:r>
          </w:p>
          <w:p>
            <w:pPr>
              <w:pStyle w:val="Normal"/>
              <w:jc w:val="both"/>
              <w:rPr>
                <w:rFonts w:eastAsia="Arial Unicode MS"/>
                <w:color w:val="0000E6"/>
                <w:u w:val="none" w:color="0B308C"/>
              </w:rPr>
            </w:pPr>
            <w:r>
              <w:rPr>
                <w:rFonts w:eastAsia="Arial Unicode MS"/>
                <w:color w:val="0000E6"/>
                <w:u w:val="none" w:color="0B308C"/>
              </w:rPr>
              <w:t>2</w:t>
            </w:r>
            <w:bookmarkStart w:id="0" w:name="_GoBack"/>
            <w:bookmarkEnd w:id="0"/>
            <w:r>
              <w:rPr>
                <w:rFonts w:eastAsia="Arial Unicode MS"/>
                <w:color w:val="0000E6"/>
                <w:u w:val="none" w:color="0B308C"/>
                <w:lang w:val="en-US"/>
              </w:rPr>
              <w:t>6</w:t>
            </w:r>
            <w:r>
              <w:rPr>
                <w:rFonts w:eastAsia="Arial Unicode MS"/>
                <w:color w:val="0000E6"/>
                <w:u w:val="none" w:color="0B308C"/>
              </w:rPr>
              <w:t xml:space="preserve"> октября 2026 </w:t>
            </w:r>
            <w:r>
              <mc:AlternateContent>
                <mc:Choice Requires="wps">
                  <w:drawing>
                    <wp:anchor behindDoc="0" distT="0" distB="0" distL="0" distR="0" simplePos="0" locked="0" layoutInCell="1" allowOverlap="1" relativeHeight="3" wp14:anchorId="06ED87F0">
                      <wp:simplePos x="0" y="0"/>
                      <wp:positionH relativeFrom="column">
                        <wp:posOffset>-1905</wp:posOffset>
                      </wp:positionH>
                      <wp:positionV relativeFrom="paragraph">
                        <wp:posOffset>251460</wp:posOffset>
                      </wp:positionV>
                      <wp:extent cx="4506595" cy="635"/>
                      <wp:effectExtent l="12700" t="12700" r="13335" b="12700"/>
                      <wp:wrapNone/>
                      <wp:docPr id="1" name="Прямая соединительная линия 3"/>
                      <a:graphic xmlns:a="http://schemas.openxmlformats.org/drawingml/2006/main">
                        <a:graphicData uri="http://schemas.microsoft.com/office/word/2010/wordprocessingShape">
                          <wps:wsp>
                            <wps:cNvSpPr/>
                            <wps:spPr>
                              <a:xfrm flipH="1">
                                <a:off x="0" y="0"/>
                                <a:ext cx="4506480" cy="720"/>
                              </a:xfrm>
                              <a:prstGeom prst="line">
                                <a:avLst/>
                              </a:prstGeom>
                              <a:ln w="25400">
                                <a:solidFill>
                                  <a:srgbClr val="0000e6"/>
                                </a:solidFill>
                                <a:round/>
                              </a:ln>
                            </wps:spPr>
                            <wps:style>
                              <a:lnRef idx="0"/>
                              <a:fillRef idx="0"/>
                              <a:effectRef idx="0"/>
                              <a:fontRef idx="minor"/>
                            </wps:style>
                            <wps:bodyPr/>
                          </wps:wsp>
                        </a:graphicData>
                      </a:graphic>
                    </wp:anchor>
                  </w:drawing>
                </mc:Choice>
                <mc:Fallback>
                  <w:pict>
                    <v:line id="shape_0" from="-0.15pt,19.8pt" to="354.65pt,19.8pt" ID="Прямая соединительная линия 3" stroked="t" o:allowincell="f" style="position:absolute;flip:x" wp14:anchorId="06ED87F0">
                      <v:stroke color="#0000e6" weight="25560" joinstyle="round" endcap="flat"/>
                      <v:fill o:detectmouseclick="t" on="false"/>
                      <w10:wrap type="none"/>
                    </v:line>
                  </w:pict>
                </mc:Fallback>
              </mc:AlternateContent>
            </w:r>
            <w:r>
              <w:rPr>
                <w:rFonts w:eastAsia="Arial Unicode MS"/>
                <w:color w:val="0000E6"/>
                <w:u w:val="none" w:color="0B308C"/>
              </w:rPr>
              <w:t xml:space="preserve"> </w:t>
            </w:r>
          </w:p>
        </w:tc>
        <w:tc>
          <w:tcPr>
            <w:tcW w:w="2517" w:type="dxa"/>
            <w:tcBorders/>
          </w:tcPr>
          <w:p>
            <w:pPr>
              <w:pStyle w:val="Normal"/>
              <w:spacing w:lineRule="auto" w:line="288" w:before="120" w:after="120"/>
              <w:jc w:val="both"/>
              <w:rPr>
                <w:rFonts w:eastAsia="Times New Roman"/>
                <w:b/>
                <w:color w:val="0918DD"/>
              </w:rPr>
            </w:pPr>
            <w:r>
              <w:rPr>
                <w:rFonts w:eastAsia="Times New Roman"/>
                <w:b/>
                <w:color w:val="0918DD"/>
              </w:rPr>
              <w:t xml:space="preserve">              </w:t>
            </w:r>
            <w:r>
              <w:rPr/>
              <w:drawing>
                <wp:inline distT="0" distB="0" distL="0" distR="0">
                  <wp:extent cx="901700" cy="901700"/>
                  <wp:effectExtent l="0" t="0" r="0" b="0"/>
                  <wp:docPr id="2"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4" descr=""/>
                          <pic:cNvPicPr>
                            <a:picLocks noChangeAspect="1" noChangeArrowheads="1"/>
                          </pic:cNvPicPr>
                        </pic:nvPicPr>
                        <pic:blipFill>
                          <a:blip r:embed="rId2"/>
                          <a:stretch>
                            <a:fillRect/>
                          </a:stretch>
                        </pic:blipFill>
                        <pic:spPr bwMode="auto">
                          <a:xfrm>
                            <a:off x="0" y="0"/>
                            <a:ext cx="901700" cy="901700"/>
                          </a:xfrm>
                          <a:prstGeom prst="rect">
                            <a:avLst/>
                          </a:prstGeom>
                          <a:noFill/>
                        </pic:spPr>
                      </pic:pic>
                    </a:graphicData>
                  </a:graphic>
                </wp:inline>
              </w:drawing>
            </w:r>
          </w:p>
        </w:tc>
      </w:tr>
    </w:tbl>
    <w:p>
      <w:pPr>
        <w:pStyle w:val="Normal"/>
        <w:jc w:val="both"/>
        <w:rPr>
          <w:rFonts w:eastAsia="Times New Roman"/>
          <w:b/>
          <w:i/>
          <w:i/>
          <w:kern w:val="2"/>
          <w:sz w:val="20"/>
          <w:szCs w:val="20"/>
          <w14:ligatures w14:val="standardContextual"/>
        </w:rPr>
      </w:pPr>
      <w:r>
        <w:rPr>
          <w:rFonts w:eastAsia="Times New Roman"/>
          <w:b/>
          <w:i/>
          <w:kern w:val="2"/>
          <w:sz w:val="20"/>
          <w:szCs w:val="20"/>
          <w14:ligatures w14:val="standardContextual"/>
        </w:rPr>
      </w:r>
    </w:p>
    <w:p>
      <w:pPr>
        <w:pStyle w:val="Normal"/>
        <w:jc w:val="center"/>
        <w:rPr>
          <w:rFonts w:eastAsia="Times New Roman"/>
          <w:b/>
          <w:iCs/>
          <w:kern w:val="2"/>
          <w:sz w:val="28"/>
          <w:szCs w:val="28"/>
          <w14:ligatures w14:val="standardContextual"/>
        </w:rPr>
      </w:pPr>
      <w:bookmarkStart w:id="1" w:name="_Hlk242285527"/>
      <w:r>
        <w:rPr>
          <w:rFonts w:eastAsia="Times New Roman"/>
          <w:b/>
          <w:iCs/>
          <w:kern w:val="2"/>
          <w:sz w:val="28"/>
          <w:szCs w:val="28"/>
          <w14:ligatures w14:val="standardContextual"/>
        </w:rPr>
        <w:t>Почта России упростила оформление писем и бандеролей для юрлиц</w:t>
      </w:r>
    </w:p>
    <w:p>
      <w:pPr>
        <w:pStyle w:val="Normal"/>
        <w:jc w:val="center"/>
        <w:rPr>
          <w:rFonts w:eastAsia="Times New Roman"/>
          <w:b/>
          <w:iCs/>
          <w:kern w:val="2"/>
          <w:sz w:val="28"/>
          <w:szCs w:val="28"/>
          <w14:ligatures w14:val="standardContextual"/>
        </w:rPr>
      </w:pPr>
      <w:r>
        <w:rPr>
          <w:rFonts w:eastAsia="Times New Roman"/>
          <w:b/>
          <w:iCs/>
          <w:kern w:val="2"/>
          <w:sz w:val="28"/>
          <w:szCs w:val="28"/>
          <w14:ligatures w14:val="standardContextual"/>
        </w:rPr>
      </w:r>
    </w:p>
    <w:p>
      <w:pPr>
        <w:pStyle w:val="Normal"/>
        <w:jc w:val="both"/>
        <w:rPr>
          <w:b/>
          <w:bCs/>
        </w:rPr>
      </w:pPr>
      <w:r>
        <w:rPr>
          <w:b/>
          <w:bCs/>
        </w:rPr>
        <w:t>Теперь юридическим лицам при оформлении писем и бандеролей в личном кабинете на сайте и в мобильном приложении Почты России будет доступен новый формат адресного ярлыка.</w:t>
      </w:r>
    </w:p>
    <w:p>
      <w:pPr>
        <w:pStyle w:val="Normal"/>
        <w:jc w:val="both"/>
        <w:rPr>
          <w:b/>
          <w:bCs/>
        </w:rPr>
      </w:pPr>
      <w:r>
        <w:rPr>
          <w:b/>
          <w:bCs/>
        </w:rPr>
      </w:r>
    </w:p>
    <w:p>
      <w:pPr>
        <w:pStyle w:val="Normal"/>
        <w:jc w:val="both"/>
        <w:rPr>
          <w:rFonts w:eastAsia="Times New Roman"/>
        </w:rPr>
      </w:pPr>
      <w:r>
        <w:rPr>
          <w:rFonts w:eastAsia="Times New Roman"/>
        </w:rPr>
        <w:t xml:space="preserve">В отличие от старой версии, он содержит адресные данные не только получателя, но и отправителя. Благодаря этому данные отправителя печатаются на ярлыке автоматически, что позволяет экономить время на подготовку письменной корреспонденции к отправке. </w:t>
      </w:r>
    </w:p>
    <w:p>
      <w:pPr>
        <w:pStyle w:val="Normal"/>
        <w:jc w:val="both"/>
        <w:rPr>
          <w:rFonts w:eastAsia="Times New Roman"/>
        </w:rPr>
      </w:pPr>
      <w:r>
        <w:rPr>
          <w:rFonts w:eastAsia="Times New Roman"/>
        </w:rPr>
      </w:r>
    </w:p>
    <w:p>
      <w:pPr>
        <w:pStyle w:val="Normal"/>
        <w:jc w:val="both"/>
        <w:rPr>
          <w:rFonts w:eastAsia="Times New Roman"/>
        </w:rPr>
      </w:pPr>
      <w:r>
        <w:rPr>
          <w:rFonts w:eastAsia="Times New Roman"/>
        </w:rPr>
        <w:t>В результате процесс стал полностью бесшовным: отпадает необходимость в дополнительных наклейках, а риск ошибок из-за ручного заполнения сводится к минимуму. Кроме того, унификация ярлыка ускоряет автоматическую сортировку отправлений в логистических центрах.</w:t>
      </w:r>
    </w:p>
    <w:p>
      <w:pPr>
        <w:pStyle w:val="Normal"/>
        <w:jc w:val="both"/>
        <w:rPr>
          <w:rFonts w:eastAsia="Times New Roman"/>
        </w:rPr>
      </w:pPr>
      <w:r>
        <w:rPr>
          <w:rFonts w:eastAsia="Times New Roman"/>
        </w:rPr>
        <w:br/>
        <w:t>Обновление адресного ярлыка сделает массовый документооборот для бизнеса быстрее и прозрачнее. В перспективе это позволит компаниям сократить операционные расходы на логистику, а Почте России — повысить общую скорость доставки деловой корреспонденции</w:t>
      </w:r>
      <w:r>
        <w:rPr>
          <w:rFonts w:eastAsia="Times New Roman"/>
          <w:i/>
          <w:iCs/>
        </w:rPr>
        <w:t>.</w:t>
      </w:r>
    </w:p>
    <w:p>
      <w:pPr>
        <w:pStyle w:val="Normal"/>
        <w:jc w:val="both"/>
        <w:rPr>
          <w:rFonts w:eastAsia="Times New Roman"/>
        </w:rPr>
      </w:pPr>
      <w:r>
        <w:rPr>
          <w:rFonts w:eastAsia="Times New Roman"/>
        </w:rPr>
      </w:r>
    </w:p>
    <w:p>
      <w:pPr>
        <w:pStyle w:val="Normal"/>
        <w:jc w:val="both"/>
        <w:rPr>
          <w:rFonts w:eastAsia="Times New Roman"/>
        </w:rPr>
      </w:pPr>
      <w:bookmarkStart w:id="2" w:name="_Hlk242285527"/>
      <w:r>
        <w:rPr>
          <w:rFonts w:eastAsia="Times New Roman"/>
        </w:rPr>
        <w:t>Ранее при отправке письменной корреспонденции юридическим лицам приходилось совершать дополнительные действия. Предыдущий формат адресного ярлыка предусматривал наличие только данных получателя, поэтому при необходимости клиенты отдельно наносили свои данные на конверт. Это создавало лишние шаги в процессе подготовки почты, увеличивало риск ошибок при ручном вводе и замедляло обработку отправлений.</w:t>
      </w:r>
      <w:bookmarkEnd w:id="2"/>
    </w:p>
    <w:p>
      <w:pPr>
        <w:pStyle w:val="Normal"/>
        <w:jc w:val="both"/>
        <w:rPr>
          <w:rFonts w:eastAsia="Times New Roman"/>
        </w:rPr>
      </w:pPr>
      <w:r>
        <w:rPr>
          <w:rFonts w:eastAsia="Times New Roman"/>
        </w:rPr>
      </w:r>
    </w:p>
    <w:p>
      <w:pPr>
        <w:pStyle w:val="Normal"/>
        <w:jc w:val="both"/>
        <w:rPr>
          <w:rFonts w:eastAsia="Times New Roman"/>
          <w:b/>
          <w:i/>
          <w:i/>
          <w:kern w:val="2"/>
          <w:sz w:val="20"/>
          <w:szCs w:val="20"/>
          <w14:ligatures w14:val="standardContextual"/>
        </w:rPr>
      </w:pPr>
      <w:r>
        <w:rPr>
          <w:rFonts w:eastAsia="Times New Roman"/>
          <w:b/>
          <w:i/>
          <w:kern w:val="2"/>
          <w:sz w:val="20"/>
          <w:szCs w:val="20"/>
          <w14:ligatures w14:val="standardContextual"/>
        </w:rPr>
      </w:r>
    </w:p>
    <w:p>
      <w:pPr>
        <w:pStyle w:val="Normal"/>
        <w:jc w:val="both"/>
        <w:rPr/>
      </w:pPr>
      <w:r>
        <w:rPr>
          <w:rFonts w:eastAsia="Times New Roman"/>
          <w:b/>
          <w:i/>
          <w:kern w:val="2"/>
          <w:sz w:val="20"/>
          <w:szCs w:val="20"/>
          <w14:ligatures w14:val="standardContextual"/>
        </w:rPr>
        <w:t>Справочно:</w:t>
      </w:r>
    </w:p>
    <w:p>
      <w:pPr>
        <w:pStyle w:val="Normal"/>
        <w:spacing w:lineRule="auto" w:line="288" w:before="120" w:after="120"/>
        <w:jc w:val="both"/>
        <w:rPr>
          <w:rFonts w:eastAsia="Calibri"/>
          <w:i/>
          <w:i/>
          <w:iCs/>
          <w:color w:val="000000"/>
          <w:sz w:val="20"/>
          <w:szCs w:val="20"/>
        </w:rPr>
      </w:pPr>
      <w:r>
        <w:rPr>
          <w:rFonts w:eastAsia="Calibri"/>
          <w:b/>
          <w:bCs/>
          <w:i/>
          <w:iCs/>
          <w:color w:val="000000"/>
          <w:sz w:val="20"/>
          <w:szCs w:val="20"/>
        </w:rPr>
        <w:t>АО «Почта России»</w:t>
      </w:r>
      <w:r>
        <w:rPr>
          <w:rFonts w:eastAsia="Calibri"/>
          <w:i/>
          <w:iCs/>
          <w:color w:val="000000"/>
          <w:sz w:val="20"/>
          <w:szCs w:val="20"/>
        </w:rPr>
        <w:t xml:space="preserve"> — крупнейший федеральный почтовый и логистический оператор страны, входит в перечень стратегических предприятий Российской Федерации. Седьмая крупнейшая компания в мире по количеству отделений обслуживания клиентов — свыше 38 000 точек, порядка 66% из которых находятся в малых населенных пунктах. Среднемесячная протяженность логистических маршрутов Почты составляет 64 млн километров. </w:t>
      </w:r>
    </w:p>
    <w:p>
      <w:pPr>
        <w:pStyle w:val="Normal"/>
        <w:spacing w:lineRule="auto" w:line="288" w:before="120" w:after="120"/>
        <w:jc w:val="both"/>
        <w:rPr>
          <w:rFonts w:eastAsia="Calibri"/>
          <w:i/>
          <w:i/>
          <w:iCs/>
          <w:color w:val="000000"/>
          <w:sz w:val="20"/>
          <w:szCs w:val="20"/>
        </w:rPr>
      </w:pPr>
      <w:r>
        <w:rPr>
          <w:rFonts w:eastAsia="Calibri"/>
          <w:i/>
          <w:iCs/>
          <w:color w:val="000000"/>
          <w:sz w:val="20"/>
          <w:szCs w:val="20"/>
        </w:rPr>
        <w:t>Ежегодно Почта России принимает более 1 млрд бумажных отправлений и обрабатывает более 90 млн посылок.</w:t>
      </w:r>
      <w:r>
        <w:rPr>
          <w:rFonts w:eastAsia="Times New Roman"/>
        </w:rPr>
        <w:t xml:space="preserve"> </w:t>
      </w:r>
      <w:r>
        <w:rPr>
          <w:rFonts w:eastAsia="Calibri"/>
          <w:i/>
          <w:iCs/>
          <w:color w:val="000000"/>
          <w:sz w:val="20"/>
          <w:szCs w:val="20"/>
        </w:rPr>
        <w:t>Компания помогает переводить юридически значимую переписку в цифровой формат — в 2025 г. Почта доставила порядка 380 млн писем в электронном и гибридном формате.</w:t>
      </w:r>
    </w:p>
    <w:p>
      <w:pPr>
        <w:pStyle w:val="Normal"/>
        <w:spacing w:lineRule="auto" w:line="288" w:before="120" w:after="120"/>
        <w:jc w:val="both"/>
        <w:rPr>
          <w:rFonts w:eastAsia="Calibri"/>
          <w:i/>
          <w:i/>
          <w:iCs/>
          <w:color w:val="000000"/>
          <w:sz w:val="20"/>
          <w:szCs w:val="20"/>
          <w:shd w:fill="FFFFFF" w:val="clear"/>
        </w:rPr>
      </w:pPr>
      <w:r>
        <w:rPr>
          <w:rFonts w:eastAsia="Calibri"/>
          <w:i/>
          <w:iCs/>
          <w:color w:val="000000"/>
          <w:sz w:val="20"/>
          <w:szCs w:val="20"/>
          <w:shd w:fill="FFFFFF" w:val="clear"/>
        </w:rPr>
        <w:t>Почтово-логистический оператор следит за сохранностью всех отправлений, включая онлайн-заказы. На октябрь 2025 г. этот показатель достигает 99,99%.</w:t>
      </w:r>
    </w:p>
    <w:p>
      <w:pPr>
        <w:pStyle w:val="Normal"/>
        <w:spacing w:lineRule="auto" w:line="288" w:before="120" w:after="120"/>
        <w:jc w:val="both"/>
        <w:rPr>
          <w:rFonts w:eastAsia="Calibri"/>
          <w:i/>
          <w:i/>
          <w:iCs/>
          <w:color w:val="000000"/>
          <w:sz w:val="20"/>
          <w:szCs w:val="20"/>
          <w:shd w:fill="FFFFFF" w:val="clear"/>
        </w:rPr>
      </w:pPr>
      <w:r>
        <w:rPr>
          <w:rFonts w:eastAsia="Times New Roman" w:cs="Times New Roman"/>
          <w:b/>
          <w:sz w:val="24"/>
          <w:szCs w:val="24"/>
        </w:rPr>
      </w:r>
    </w:p>
    <w:p>
      <w:pPr>
        <w:pStyle w:val="Normal"/>
        <w:spacing w:lineRule="auto" w:line="240"/>
        <w:jc w:val="both"/>
        <w:rPr>
          <w:rFonts w:ascii="Times New Roman" w:hAnsi="Times New Roman" w:eastAsia="Times New Roman" w:cs="Times New Roman"/>
          <w:b/>
          <w:bCs/>
          <w:color w:val="000000"/>
          <w:sz w:val="24"/>
          <w:szCs w:val="24"/>
        </w:rPr>
      </w:pPr>
      <w:r>
        <w:rPr>
          <w:rFonts w:eastAsia="Times New Roman" w:cs="Times New Roman"/>
          <w:b/>
          <w:bCs/>
          <w:color w:val="000000"/>
          <w:sz w:val="24"/>
          <w:szCs w:val="24"/>
        </w:rPr>
        <w:t>Пресс-служба АО «Почта России»</w:t>
      </w:r>
    </w:p>
    <w:p>
      <w:pPr>
        <w:pStyle w:val="Normal"/>
        <w:spacing w:lineRule="auto" w:line="240"/>
        <w:jc w:val="both"/>
        <w:rPr>
          <w:rFonts w:ascii="Times New Roman" w:hAnsi="Times New Roman" w:eastAsia="Times New Roman" w:cs="Times New Roman"/>
          <w:bCs/>
          <w:color w:val="000000"/>
          <w:sz w:val="24"/>
          <w:szCs w:val="24"/>
        </w:rPr>
      </w:pPr>
      <w:r>
        <w:rPr>
          <w:rFonts w:eastAsia="Times New Roman" w:cs="Times New Roman"/>
          <w:bCs/>
          <w:color w:val="000000"/>
          <w:sz w:val="24"/>
          <w:szCs w:val="24"/>
        </w:rPr>
        <w:t>Александра Овдина</w:t>
      </w:r>
    </w:p>
    <w:p>
      <w:pPr>
        <w:pStyle w:val="Normal"/>
        <w:spacing w:lineRule="auto" w:line="240"/>
        <w:jc w:val="both"/>
        <w:rPr>
          <w:rFonts w:ascii="Times New Roman" w:hAnsi="Times New Roman" w:eastAsia="Times New Roman" w:cs="Times New Roman"/>
          <w:bCs/>
          <w:color w:val="000000"/>
          <w:sz w:val="24"/>
          <w:szCs w:val="24"/>
        </w:rPr>
      </w:pPr>
      <w:r>
        <w:rPr>
          <w:rFonts w:eastAsia="Times New Roman" w:cs="Times New Roman"/>
          <w:bCs/>
          <w:color w:val="000000"/>
          <w:sz w:val="24"/>
          <w:szCs w:val="24"/>
        </w:rPr>
        <w:t>Раб. +7 (391) 219-17-60 доб. 02097</w:t>
      </w:r>
    </w:p>
    <w:p>
      <w:pPr>
        <w:pStyle w:val="Normal"/>
        <w:spacing w:lineRule="auto" w:line="240"/>
        <w:jc w:val="both"/>
        <w:rPr>
          <w:rFonts w:ascii="Times New Roman" w:hAnsi="Times New Roman" w:eastAsia="Times New Roman" w:cs="Times New Roman"/>
          <w:bCs/>
          <w:color w:val="000000"/>
          <w:sz w:val="24"/>
          <w:szCs w:val="24"/>
        </w:rPr>
      </w:pPr>
      <w:r>
        <w:rPr>
          <w:rFonts w:eastAsia="Times New Roman" w:cs="Times New Roman"/>
          <w:bCs/>
          <w:color w:val="000000"/>
          <w:sz w:val="24"/>
          <w:szCs w:val="24"/>
        </w:rPr>
        <w:t>Тел. +7 (908) 213-11-10</w:t>
      </w:r>
    </w:p>
    <w:p>
      <w:pPr>
        <w:pStyle w:val="Normal"/>
        <w:spacing w:lineRule="auto" w:line="240" w:before="0" w:after="200"/>
        <w:jc w:val="both"/>
        <w:rPr/>
      </w:pPr>
      <w:hyperlink r:id="rId3">
        <w:bookmarkStart w:id="3" w:name="_PictureBullets"/>
        <w:bookmarkStart w:id="4" w:name="_GoBack_Копия_1_Копия_1"/>
        <w:bookmarkStart w:id="5" w:name="_Hlk219109036_Копия_1_Копия_1"/>
        <w:bookmarkStart w:id="6" w:name="_GoBack_Копия_1"/>
        <w:bookmarkStart w:id="7" w:name="_Hlk219109036_Копия_1_Копия_1_Копия_1"/>
        <w:bookmarkStart w:id="8" w:name="_GoBack_Копия_1_Копия_1_Копия_1_Копия_1"/>
        <w:bookmarkStart w:id="9" w:name="_GoBack_Копия_1_Копия_1_Копия_1"/>
        <w:bookmarkStart w:id="10" w:name="_Hlk219109036_Копия_1"/>
        <w:bookmarkEnd w:id="3"/>
        <w:bookmarkEnd w:id="4"/>
        <w:bookmarkEnd w:id="5"/>
        <w:bookmarkEnd w:id="6"/>
        <w:bookmarkEnd w:id="7"/>
        <w:bookmarkEnd w:id="8"/>
        <w:bookmarkEnd w:id="9"/>
        <w:bookmarkEnd w:id="10"/>
        <w:r>
          <w:rPr>
            <w:rStyle w:val="Hyperlink"/>
            <w:rFonts w:eastAsia="Times New Roman" w:cs="Times New Roman"/>
            <w:b/>
            <w:bCs/>
            <w:color w:val="0000FF"/>
            <w:sz w:val="24"/>
            <w:szCs w:val="24"/>
          </w:rPr>
          <w:t>Ovdina-A@russianpost.ru</w:t>
        </w:r>
      </w:hyperlink>
    </w:p>
    <w:p>
      <w:pPr>
        <w:pStyle w:val="Normal"/>
        <w:rPr/>
      </w:pPr>
      <w:r>
        <w:rPr/>
      </w:r>
    </w:p>
    <w:p>
      <w:pPr>
        <w:pStyle w:val="Normal"/>
        <w:rPr/>
      </w:pPr>
      <w:r>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Arial">
    <w:charset w:val="01"/>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026f9"/>
    <w:pPr>
      <w:widowControl/>
      <w:bidi w:val="0"/>
      <w:spacing w:lineRule="auto" w:line="240" w:before="0" w:after="0"/>
      <w:jc w:val="left"/>
    </w:pPr>
    <w:rPr>
      <w:rFonts w:ascii="Times New Roman" w:hAnsi="Times New Roman" w:cs="Times New Roman" w:eastAsia="Calibri" w:eastAsiaTheme="minorHAnsi"/>
      <w:color w:val="auto"/>
      <w:kern w:val="0"/>
      <w:sz w:val="24"/>
      <w:szCs w:val="24"/>
      <w:lang w:eastAsia="ru-RU" w:val="ru-RU" w:bidi="ar-SA"/>
    </w:rPr>
  </w:style>
  <w:style w:type="paragraph" w:styleId="Heading1">
    <w:name w:val="heading 1"/>
    <w:basedOn w:val="Normal"/>
    <w:link w:val="1"/>
    <w:uiPriority w:val="9"/>
    <w:qFormat/>
    <w:rsid w:val="005e7ebf"/>
    <w:pPr>
      <w:spacing w:beforeAutospacing="1" w:afterAutospacing="1"/>
      <w:outlineLvl w:val="0"/>
    </w:pPr>
    <w:rPr>
      <w:rFonts w:eastAsia="Times New Roman"/>
      <w:b/>
      <w:bCs/>
      <w:kern w:val="2"/>
      <w:sz w:val="48"/>
      <w:szCs w:val="48"/>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f026f9"/>
    <w:rPr>
      <w:color w:val="0563C1"/>
      <w:u w:val="single"/>
    </w:rPr>
  </w:style>
  <w:style w:type="character" w:styleId="1" w:customStyle="1">
    <w:name w:val="Заголовок 1 Знак"/>
    <w:basedOn w:val="DefaultParagraphFont"/>
    <w:uiPriority w:val="9"/>
    <w:qFormat/>
    <w:rsid w:val="005e7ebf"/>
    <w:rPr>
      <w:rFonts w:ascii="Times New Roman" w:hAnsi="Times New Roman" w:eastAsia="Times New Roman" w:cs="Times New Roman"/>
      <w:b/>
      <w:bCs/>
      <w:kern w:val="2"/>
      <w:sz w:val="48"/>
      <w:szCs w:val="48"/>
      <w:lang w:eastAsia="ru-RU"/>
    </w:rPr>
  </w:style>
  <w:style w:type="character" w:styleId="font-sc-le1wax-0" w:customStyle="1">
    <w:name w:val="font-sc-le1wax-0"/>
    <w:basedOn w:val="DefaultParagraphFont"/>
    <w:qFormat/>
    <w:rsid w:val="005e7ebf"/>
    <w:rPr/>
  </w:style>
  <w:style w:type="character" w:styleId="FollowedHyperlink">
    <w:name w:val="FollowedHyperlink"/>
    <w:basedOn w:val="DefaultParagraphFont"/>
    <w:rPr>
      <w:color w:themeColor="followedHyperlink" w:val="954F72"/>
      <w:u w:val="single"/>
    </w:rPr>
  </w:style>
  <w:style w:type="paragraph" w:styleId="Style13">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4">
    <w:name w:val="Указатель"/>
    <w:basedOn w:val="Normal"/>
    <w:qFormat/>
    <w:pPr>
      <w:suppressLineNumbers/>
    </w:pPr>
    <w:rPr>
      <w:rFonts w:cs="Noto Sans"/>
    </w:rPr>
  </w:style>
  <w:style w:type="paragraph" w:styleId="NormalWeb">
    <w:name w:val="Normal (Web)"/>
    <w:basedOn w:val="Normal"/>
    <w:uiPriority w:val="99"/>
    <w:semiHidden/>
    <w:unhideWhenUsed/>
    <w:qFormat/>
    <w:rsid w:val="005e7ebf"/>
    <w:pPr>
      <w:spacing w:beforeAutospacing="1" w:afterAutospacing="1"/>
    </w:pPr>
    <w:rPr>
      <w:rFonts w:eastAsia="Times New Roman"/>
    </w:rPr>
  </w:style>
  <w:style w:type="numbering" w:styleId="Style1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Ovdina-A@russianpost.ru"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176</TotalTime>
  <Application>LibreOffice/24.8.5.2$Linux_X86_64 LibreOffice_project/480$Build-2</Application>
  <AppVersion>15.0000</AppVersion>
  <Pages>2</Pages>
  <Words>302</Words>
  <Characters>2080</Characters>
  <CharactersWithSpaces>2464</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2026-10-07T07:32:00Z</dcterms:created>
  <dc:creator>Назарова Ольга Николаевна</dc:creator>
  <dc:description/>
  <dc:language>ru-RU</dc:language>
  <cp:lastModifiedBy/>
  <dcterms:modified xsi:type="dcterms:W3CDTF">2026-10-26T09:52:57Z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