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53"/>
        <w:gridCol w:w="2517"/>
      </w:tblGrid>
      <w:tr>
        <w:trPr>
          <w:trHeight w:val="1719" w:hRule="atLeast"/>
        </w:trPr>
        <w:tc>
          <w:tcPr>
            <w:tcW w:w="7053" w:type="dxa"/>
            <w:tcBorders/>
          </w:tcPr>
          <w:p>
            <w:pPr>
              <w:pStyle w:val="Normal"/>
              <w:jc w:val="both"/>
              <w:rPr>
                <w:rFonts w:ascii="Times New Roman" w:hAnsi="Times New Roman" w:eastAsia="Arial Unicode MS" w:cs="Times New Roman"/>
                <w:b/>
                <w:bCs/>
                <w:color w:val="0000E6"/>
                <w:sz w:val="24"/>
                <w:szCs w:val="24"/>
              </w:rPr>
            </w:pPr>
            <w:r>
              <w:rPr>
                <w:rFonts w:eastAsia="Arial Unicode MS" w:cs="Times New Roman" w:ascii="Times New Roman" w:hAnsi="Times New Roman"/>
                <w:b/>
                <w:bCs/>
                <w:color w:val="0000E6"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Arial Unicode MS" w:cs="Times New Roman"/>
                <w:b/>
                <w:bCs/>
                <w:color w:val="0000E6"/>
                <w:sz w:val="24"/>
                <w:szCs w:val="24"/>
              </w:rPr>
            </w:pPr>
            <w:r>
              <w:rPr>
                <w:rFonts w:eastAsia="Arial Unicode MS" w:cs="Times New Roman" w:ascii="Times New Roman" w:hAnsi="Times New Roman"/>
                <w:b/>
                <w:bCs/>
                <w:color w:val="0000E6"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Arial Unicode MS" w:cs="Times New Roman"/>
                <w:b/>
                <w:bCs/>
                <w:color w:val="0000E6"/>
                <w:sz w:val="24"/>
                <w:szCs w:val="24"/>
              </w:rPr>
            </w:pPr>
            <w:r>
              <w:rPr>
                <w:rFonts w:eastAsia="Arial Unicode MS" w:cs="Times New Roman" w:ascii="Times New Roman" w:hAnsi="Times New Roman"/>
                <w:b/>
                <w:bCs/>
                <w:color w:val="0000E6"/>
                <w:sz w:val="24"/>
                <w:szCs w:val="24"/>
              </w:rPr>
              <w:t xml:space="preserve">ПРЕСС-РЕЛИЗ                                                                            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Arial Unicode MS" w:cs="Times New Roman"/>
                <w:color w:val="0000E6"/>
                <w:sz w:val="24"/>
                <w:szCs w:val="24"/>
              </w:rPr>
            </w:pPr>
            <w:r>
              <w:rPr>
                <w:rFonts w:eastAsia="Arial Unicode MS" w:cs="Times New Roman" w:ascii="Times New Roman" w:hAnsi="Times New Roman"/>
                <w:color w:val="0000E6"/>
                <w:sz w:val="24"/>
                <w:szCs w:val="24"/>
              </w:rPr>
              <w:t>2</w:t>
            </w:r>
            <w:r>
              <w:rPr>
                <w:rFonts w:eastAsia="Arial Unicode MS" w:cs="Times New Roman" w:ascii="Times New Roman" w:hAnsi="Times New Roman"/>
                <w:color w:val="0000E6"/>
                <w:sz w:val="24"/>
                <w:szCs w:val="24"/>
              </w:rPr>
              <w:t xml:space="preserve">4 </w:t>
            </w:r>
            <w:r>
              <w:rPr>
                <w:rFonts w:eastAsia="Arial Unicode MS" w:cs="Times New Roman" w:ascii="Times New Roman" w:hAnsi="Times New Roman"/>
                <w:color w:val="0000E6"/>
                <w:sz w:val="24"/>
                <w:szCs w:val="24"/>
              </w:rPr>
              <w:t xml:space="preserve">сентября 2026 </w:t>
            </w: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3" wp14:anchorId="3312F768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635"/>
                      <wp:effectExtent l="12700" t="12700" r="13335" b="12700"/>
                      <wp:wrapNone/>
                      <wp:docPr id="1" name="Прямая соединительная линия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06480" cy="72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0.15pt,19.8pt" to="354.65pt,19.8pt" ID="Прямая соединительная линия 3" stroked="t" o:allowincell="f" style="position:absolute;flip:x" wp14:anchorId="3312F768">
                      <v:stroke color="#0000e6" weight="255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eastAsia="Arial Unicode MS" w:cs="Times New Roman" w:ascii="Times New Roman" w:hAnsi="Times New Roman"/>
                <w:color w:val="0000E6"/>
                <w:sz w:val="24"/>
                <w:szCs w:val="24"/>
              </w:rPr>
              <w:t xml:space="preserve"> </w:t>
            </w:r>
          </w:p>
        </w:tc>
        <w:tc>
          <w:tcPr>
            <w:tcW w:w="2517" w:type="dxa"/>
            <w:tcBorders/>
          </w:tcPr>
          <w:p>
            <w:pPr>
              <w:pStyle w:val="Normal"/>
              <w:spacing w:lineRule="auto" w:line="288" w:before="120" w:after="120"/>
              <w:jc w:val="both"/>
              <w:rPr>
                <w:rFonts w:ascii="Times New Roman" w:hAnsi="Times New Roman" w:eastAsia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918DD"/>
                <w:sz w:val="24"/>
                <w:szCs w:val="24"/>
              </w:rPr>
              <w:t xml:space="preserve">              </w:t>
            </w:r>
            <w:r>
              <w:rPr/>
              <w:drawing>
                <wp:inline distT="0" distB="0" distL="0" distR="0">
                  <wp:extent cx="900430" cy="900430"/>
                  <wp:effectExtent l="0" t="0" r="0" b="0"/>
                  <wp:docPr id="2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430" cy="900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fill="FFFFFF" w:val="clear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Проект построения киберустойчивости Почты России получил премию </w:t>
      </w:r>
      <w:r>
        <w:rPr>
          <w:rFonts w:cs="Times New Roman" w:ascii="Times New Roman" w:hAnsi="Times New Roman"/>
          <w:b/>
          <w:bCs/>
          <w:color w:val="02061C"/>
          <w:sz w:val="28"/>
          <w:szCs w:val="28"/>
          <w:shd w:fill="FFFFFF" w:val="clear"/>
        </w:rPr>
        <w:t>«Инженерное искусство»</w:t>
      </w:r>
    </w:p>
    <w:p>
      <w:pPr>
        <w:pStyle w:val="Normal"/>
        <w:jc w:val="both"/>
        <w:rPr>
          <w:color w:val="000000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Проект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построения киберустойчивости Почты России,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в котором ведущий провайдер комплексной кибербезопасности ГК «Солар» выступает генеральным архитектором,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получил премию 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«Инженерное искусство» 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в номинации «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Архитектор системы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–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 за создание ИТ архитектуры, которая выдерживает нагрузку, рост и отказ». </w:t>
      </w:r>
    </w:p>
    <w:p>
      <w:pPr>
        <w:pStyle w:val="Normal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Масштабный проект стартовал в 2024 году, объединив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 xml:space="preserve">около 20 ведущих игроков рынка ИБ.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Его цель – повышение уровня защиты ИТ-инфраструктуры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>федерального </w:t>
      </w:r>
      <w:r>
        <w:rPr>
          <w:rFonts w:cs="Times New Roman" w:ascii="Times New Roman" w:hAnsi="Times New Roman"/>
          <w:bCs/>
          <w:color w:val="000000"/>
          <w:sz w:val="24"/>
          <w:szCs w:val="24"/>
          <w:shd w:fill="FFFFFF" w:val="clear"/>
        </w:rPr>
        <w:t>почтового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 xml:space="preserve"> оператора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от критических кибератак, выполнение требований законодательства и регуляторов в области ИБ, включая предотвращение киберинцидентов, снижение их последствий и обеспечение технологической независимости организации.</w:t>
      </w:r>
    </w:p>
    <w:p>
      <w:pPr>
        <w:pStyle w:val="Normal"/>
        <w:spacing w:lineRule="auto" w:line="276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Благодаря уникальному проекту инфраструктура Почты России превратилась в своеобразный киберполигон для отработки лучших практик построения киберустойчивости. Таким образом совместно с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 xml:space="preserve">ведущими игроками ИБ-рынка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Почты России непрерывно повышает уровень зрелости ИБ,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 xml:space="preserve">что подтверждают независимые киберучения по итогам каждого из этапов проекта. </w:t>
      </w:r>
    </w:p>
    <w:p>
      <w:pPr>
        <w:pStyle w:val="Normal"/>
        <w:spacing w:lineRule="auto" w:line="276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Премию </w:t>
      </w:r>
      <w:r>
        <w:rPr>
          <w:rFonts w:cs="Times New Roman" w:ascii="Times New Roman" w:hAnsi="Times New Roman"/>
          <w:bCs/>
          <w:color w:val="000000"/>
          <w:sz w:val="24"/>
          <w:szCs w:val="24"/>
          <w:shd w:fill="FFFFFF" w:val="clear"/>
        </w:rPr>
        <w:t>«Инженерное искусство»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>в номинации «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Архитектор системы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–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за создание ИТ архитектуры, которая выдерживает нагрузку, рост и отказ» от команды проекта принял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>директор департамента архитектуры стратегических проектов ГК «Солар» Антон Ефимов.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shd w:fill="FFFFFF" w:val="clear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 xml:space="preserve"> </w:t>
      </w:r>
    </w:p>
    <w:p>
      <w:pPr>
        <w:pStyle w:val="Normal"/>
        <w:spacing w:lineRule="auto" w:line="276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«Построение киберустойчивости Почты России – это социально значимый проект, цель которого обеспечение защиты персональных данных миллионов граждан нашей страны, предотвращения их утечек, повышение уровня доверия общества к цифровым сервисам почтового оператора. Проект также нацелен на снижение финансовых потерь от кибератак, оптимизацию затрат за счет комплексного подхода и разделения зон ответственности, повышение операционной эффективности бизнес</w:t>
        <w:noBreakHyphen/>
        <w:t>процессов организации»,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– подчеркнул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  <w:t>Антон Ефимов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.</w:t>
      </w:r>
    </w:p>
    <w:p>
      <w:pPr>
        <w:pStyle w:val="Normal"/>
        <w:spacing w:lineRule="auto" w:line="276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</w:rPr>
        <w:t>«Наш проект – отличный пример того, что только командная работа и скоординированные действия всех участников могут обеспечить успех в построении защиты такого масштабного и сложного контура, как у Почты. Важность кибербезопасности для нашей компании переоценить невозможно: Почта России и стратегическое предприятие, и проводник социальных функций по всей стране, именно поэтому для нашего проекта мы выбрали самых лучших»,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– отметил руководитель Дирекции информационной безопасности Почты России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  <w:t>Роман Шапиро.</w:t>
      </w:r>
    </w:p>
    <w:p>
      <w:pPr>
        <w:pStyle w:val="Normal"/>
        <w:jc w:val="both"/>
        <w:rPr>
          <w:color w:val="000000"/>
        </w:rPr>
      </w:pPr>
      <w:bookmarkStart w:id="0" w:name="_Hlk240361676"/>
      <w:r>
        <w:rPr>
          <w:rFonts w:cs="Times New Roman" w:ascii="Times New Roman" w:hAnsi="Times New Roman"/>
          <w:color w:val="000000"/>
          <w:spacing w:val="-3"/>
          <w:sz w:val="24"/>
          <w:szCs w:val="24"/>
        </w:rPr>
        <w:t xml:space="preserve">Церемония вручения первой отраслевой премии </w:t>
      </w:r>
      <w:r>
        <w:rPr>
          <w:rFonts w:cs="Times New Roman" w:ascii="Times New Roman" w:hAnsi="Times New Roman"/>
          <w:bCs/>
          <w:color w:val="000000"/>
          <w:sz w:val="24"/>
          <w:szCs w:val="24"/>
          <w:shd w:fill="FFFFFF" w:val="clear"/>
        </w:rPr>
        <w:t>«Инженерное искусство»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 xml:space="preserve"> </w:t>
      </w:r>
      <w:r>
        <w:rPr>
          <w:rFonts w:cs="Times New Roman" w:ascii="Times New Roman" w:hAnsi="Times New Roman"/>
          <w:color w:val="000000"/>
          <w:spacing w:val="-3"/>
          <w:sz w:val="24"/>
          <w:szCs w:val="24"/>
        </w:rPr>
        <w:t xml:space="preserve">состоялась в Москве в рамках технологической конференции IT Elements 2026. </w:t>
      </w:r>
      <w:r>
        <w:rPr>
          <w:rFonts w:cs="Times New Roman" w:ascii="Times New Roman" w:hAnsi="Times New Roman"/>
          <w:bCs/>
          <w:color w:val="000000"/>
          <w:sz w:val="24"/>
          <w:szCs w:val="24"/>
          <w:shd w:fill="FFFFFF" w:val="clear"/>
        </w:rPr>
        <w:t xml:space="preserve">Награды получили инженеры, архитекторы и руководители инженерных команд за проекты в области системной архитектуры, инфраструктуры, ИБ, восстановления и новых технологий.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>Всего на премию поступило </w:t>
      </w:r>
      <w:r>
        <w:rPr>
          <w:rFonts w:cs="Times New Roman" w:ascii="Times New Roman" w:hAnsi="Times New Roman"/>
          <w:bCs/>
          <w:color w:val="000000"/>
          <w:sz w:val="24"/>
          <w:szCs w:val="24"/>
          <w:shd w:fill="FFFFFF" w:val="clear"/>
        </w:rPr>
        <w:t>74 заявки от инженеров из 45 компаний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– 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>от небольших стартапов до крупнейших банков, промышленных предприятий и экосистем России.</w:t>
      </w:r>
      <w:bookmarkEnd w:id="0"/>
    </w:p>
    <w:p>
      <w:pPr>
        <w:pStyle w:val="Normal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jc w:val="both"/>
        <w:rPr>
          <w:color w:val="000000"/>
        </w:rPr>
      </w:pPr>
      <w:bookmarkStart w:id="1" w:name="_GoBack"/>
      <w:bookmarkEnd w:id="1"/>
      <w:r>
        <w:rPr>
          <w:rFonts w:eastAsia="Times New Roman" w:cs="Times New Roman" w:ascii="Times New Roman" w:hAnsi="Times New Roman"/>
          <w:b/>
          <w:i/>
          <w:color w:val="000000"/>
          <w:kern w:val="2"/>
          <w:sz w:val="20"/>
          <w:szCs w:val="20"/>
          <w14:ligatures w14:val="standardContextual"/>
        </w:rPr>
        <w:t>Справочно:</w:t>
      </w:r>
    </w:p>
    <w:p>
      <w:pPr>
        <w:pStyle w:val="Normal"/>
        <w:spacing w:lineRule="auto" w:line="252"/>
        <w:jc w:val="both"/>
        <w:rPr>
          <w:color w:val="000000"/>
        </w:rPr>
      </w:pPr>
      <w:r>
        <w:rPr>
          <w:rFonts w:eastAsia="Calibri" w:cs="Times New Roman" w:ascii="Times New Roman" w:hAnsi="Times New Roman"/>
          <w:b/>
          <w:i/>
          <w:iCs/>
          <w:color w:val="000000"/>
          <w:kern w:val="2"/>
          <w:sz w:val="20"/>
          <w:szCs w:val="20"/>
          <w14:ligatures w14:val="standardContextual"/>
        </w:rPr>
        <w:t>АО «Почта России»</w:t>
      </w:r>
      <w:r>
        <w:rPr>
          <w:rFonts w:eastAsia="Calibri" w:cs="Times New Roman" w:ascii="Times New Roman" w:hAnsi="Times New Roman"/>
          <w:i/>
          <w:iCs/>
          <w:color w:val="000000"/>
          <w:kern w:val="2"/>
          <w:sz w:val="20"/>
          <w:szCs w:val="20"/>
          <w14:ligatures w14:val="standardContextual"/>
        </w:rPr>
        <w:t xml:space="preserve"> 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Почты составляет 64 млн километров. </w:t>
      </w:r>
    </w:p>
    <w:p>
      <w:pPr>
        <w:pStyle w:val="Normal"/>
        <w:spacing w:lineRule="auto" w:line="252"/>
        <w:jc w:val="both"/>
        <w:rPr>
          <w:color w:val="000000"/>
        </w:rPr>
      </w:pPr>
      <w:r>
        <w:rPr>
          <w:rFonts w:eastAsia="Calibri" w:cs="Times New Roman" w:ascii="Times New Roman" w:hAnsi="Times New Roman"/>
          <w:i/>
          <w:iCs/>
          <w:color w:val="000000"/>
          <w:kern w:val="2"/>
          <w:sz w:val="20"/>
          <w:szCs w:val="20"/>
          <w14:ligatures w14:val="standardContextual"/>
        </w:rPr>
        <w:t>Ежегодно Почта России принимает более 1 млрд бумажных отправлений и обрабатывает более 90 млн посылок. Компания помогает переводить юридически значимую переписку в цифровой формат — в 2025 г. Почта доставила порядка 380 млн писем в электронном и гибридном формате.</w:t>
      </w:r>
    </w:p>
    <w:p>
      <w:pPr>
        <w:pStyle w:val="Normal"/>
        <w:spacing w:lineRule="auto" w:line="252"/>
        <w:jc w:val="both"/>
        <w:rPr>
          <w:color w:val="000000"/>
        </w:rPr>
      </w:pPr>
      <w:r>
        <w:rPr>
          <w:rFonts w:eastAsia="Calibri" w:cs="Times New Roman" w:ascii="Times New Roman" w:hAnsi="Times New Roman"/>
          <w:i/>
          <w:iCs/>
          <w:color w:val="000000"/>
          <w:kern w:val="2"/>
          <w:sz w:val="20"/>
          <w:szCs w:val="20"/>
          <w14:ligatures w14:val="standardContextual"/>
        </w:rPr>
        <w:t>Почтово-логистический оператор следит за сохранностью всех отправлений, включая онлайн-заказы. На октябрь 2025 г. этот показатель достигает 99,99%.</w:t>
      </w:r>
    </w:p>
    <w:p>
      <w:pPr>
        <w:pStyle w:val="Normal"/>
        <w:spacing w:lineRule="auto" w:line="288" w:before="120" w:after="120"/>
        <w:jc w:val="both"/>
        <w:rPr>
          <w:rFonts w:ascii="Times New Roman" w:hAnsi="Times New Roman" w:eastAsia="Calibri" w:cs="Times New Roman"/>
          <w:i/>
          <w:i/>
          <w:iCs/>
          <w:color w:val="000000"/>
          <w:sz w:val="20"/>
          <w:szCs w:val="20"/>
          <w:shd w:fill="FFFFFF" w:val="clear"/>
        </w:rPr>
      </w:pPr>
      <w:r>
        <w:rPr>
          <w:rFonts w:eastAsia="Calibri" w:cs="Times New Roman" w:ascii="Times New Roman" w:hAnsi="Times New Roman"/>
          <w:i/>
          <w:iCs/>
          <w:color w:val="000000"/>
          <w:sz w:val="20"/>
          <w:szCs w:val="20"/>
          <w:shd w:fill="FFFFFF" w:val="clear"/>
        </w:rPr>
      </w:r>
    </w:p>
    <w:p>
      <w:pPr>
        <w:pStyle w:val="Normal"/>
        <w:spacing w:lineRule="auto" w:line="252"/>
        <w:jc w:val="both"/>
        <w:rPr>
          <w:rFonts w:ascii="Times New Roman" w:hAnsi="Times New Roman" w:cs="Times New Roman"/>
          <w:i/>
          <w:i/>
          <w:iCs/>
          <w:sz w:val="20"/>
          <w:szCs w:val="20"/>
          <w14:ligatures w14:val="standardContextual"/>
        </w:rPr>
      </w:pPr>
      <w:hyperlink r:id="rId3">
        <w:r>
          <w:rPr>
            <w:rStyle w:val="Style9"/>
            <w:rFonts w:eastAsia="Calibri" w:cs="Times New Roman" w:ascii="Times New Roman" w:hAnsi="Times New Roman"/>
            <w:i/>
            <w:iCs/>
            <w:color w:val="0563C1"/>
            <w:kern w:val="2"/>
            <w:sz w:val="20"/>
            <w:szCs w:val="20"/>
            <w:u w:val="single"/>
            <w14:ligatures w14:val="standardContextual"/>
          </w:rPr>
          <w:t>Группа компаний «Солар»</w:t>
        </w:r>
      </w:hyperlink>
      <w:r>
        <w:rPr>
          <w:rFonts w:eastAsia="Calibri" w:cs="Times New Roman" w:ascii="Times New Roman" w:hAnsi="Times New Roman"/>
          <w:i/>
          <w:iCs/>
          <w:kern w:val="2"/>
          <w:sz w:val="20"/>
          <w:szCs w:val="20"/>
          <w14:ligatures w14:val="standardContextual"/>
        </w:rPr>
        <w:t> — ведущий провайдер комплексной кибербезопасности. Ключевые направления деятельности — предоставление услуг и сервисов в области информационной безопасности, разработка собственных ИБ-продуктов, обучение ИБ-специалистов, аналитика и исследование киберинцидентов.</w:t>
      </w:r>
    </w:p>
    <w:p>
      <w:pPr>
        <w:pStyle w:val="Normal"/>
        <w:spacing w:lineRule="auto" w:line="252"/>
        <w:jc w:val="both"/>
        <w:rPr>
          <w:rFonts w:ascii="Times New Roman" w:hAnsi="Times New Roman" w:eastAsia="Calibri" w:cs="Times New Roman"/>
          <w:i/>
          <w:i/>
          <w:iCs/>
          <w:kern w:val="2"/>
          <w:sz w:val="20"/>
          <w:szCs w:val="20"/>
          <w14:ligatures w14:val="standardContextual"/>
        </w:rPr>
      </w:pPr>
      <w:r>
        <w:rPr>
          <w:rFonts w:eastAsia="Calibri" w:cs="Times New Roman" w:ascii="Times New Roman" w:hAnsi="Times New Roman"/>
          <w:i/>
          <w:iCs/>
          <w:kern w:val="2"/>
          <w:sz w:val="20"/>
          <w:szCs w:val="20"/>
          <w14:ligatures w14:val="standardContextual"/>
        </w:rPr>
        <w:t xml:space="preserve">С 2015 года предоставляет ИБ-решения организациям от малого бизнеса до крупнейших предприятий ключевых отраслей. Под защитой «Солара» — более 1 500 крупнейших компаний России. Компания работает в направлениях безопасной разработки программного обеспечения, управления доступом, защиты корпоративных данных, детектирования хакерских атак и угроз, что позволяет закрывать максимум потребностей заказчиков. </w:t>
      </w:r>
    </w:p>
    <w:p>
      <w:pPr>
        <w:pStyle w:val="Normal"/>
        <w:spacing w:lineRule="auto" w:line="252"/>
        <w:jc w:val="both"/>
        <w:rPr>
          <w:rFonts w:ascii="Times New Roman" w:hAnsi="Times New Roman" w:eastAsia="Calibri" w:cs="Times New Roman"/>
          <w:i/>
          <w:i/>
          <w:iCs/>
          <w:kern w:val="2"/>
          <w:sz w:val="20"/>
          <w:szCs w:val="20"/>
          <w14:ligatures w14:val="standardContextual"/>
        </w:rPr>
      </w:pPr>
      <w:r>
        <w:rPr>
          <w:rFonts w:eastAsia="Calibri" w:cs="Times New Roman" w:ascii="Times New Roman" w:hAnsi="Times New Roman"/>
          <w:i/>
          <w:iCs/>
          <w:kern w:val="2"/>
          <w:sz w:val="20"/>
          <w:szCs w:val="20"/>
          <w14:ligatures w14:val="standardContextual"/>
        </w:rPr>
        <w:t xml:space="preserve">Штат компании — около 2 500 специалистов. Подразделения «Солара» расположены в Москве, Санкт-Петербурге, Нижнем Новгороде, Самаре, Ростове-на-Дону, Томске, Хабаровске и Ижевске. Технологии компании и наличие распределенных по всей стране центров компетенций позволяют ей работать в режиме 24/7. </w:t>
      </w:r>
    </w:p>
    <w:p>
      <w:pPr>
        <w:pStyle w:val="Normal"/>
        <w:spacing w:lineRule="auto" w:line="288" w:before="120" w:after="120"/>
        <w:jc w:val="both"/>
        <w:rPr>
          <w:rFonts w:ascii="Times New Roman" w:hAnsi="Times New Roman" w:eastAsia="Calibri" w:cs="Times New Roman"/>
          <w:i/>
          <w:i/>
          <w:iCs/>
          <w:color w:val="000000"/>
          <w:sz w:val="20"/>
          <w:szCs w:val="20"/>
          <w:shd w:fill="FFFFFF" w:val="clear"/>
        </w:rPr>
      </w:pPr>
      <w:r>
        <w:rPr>
          <w:rFonts w:eastAsia="Calibri" w:cs="Times New Roman" w:ascii="Times New Roman" w:hAnsi="Times New Roman"/>
          <w:i/>
          <w:iCs/>
          <w:color w:val="000000"/>
          <w:sz w:val="20"/>
          <w:szCs w:val="20"/>
          <w:shd w:fill="FFFFFF" w:val="clear"/>
        </w:rPr>
      </w:r>
    </w:p>
    <w:p>
      <w:pPr>
        <w:pStyle w:val="Normal"/>
        <w:spacing w:lineRule="auto" w:line="240" w:before="120" w:after="120"/>
        <w:jc w:val="both"/>
        <w:rPr>
          <w:rFonts w:ascii="Times New Roman" w:hAnsi="Times New Roman" w:eastAsia="Calibri" w:cs="Times New Roman"/>
          <w:i/>
          <w:i/>
          <w:iCs/>
          <w:color w:val="000000"/>
          <w:sz w:val="20"/>
          <w:szCs w:val="20"/>
          <w:shd w:fill="FFFFFF" w:val="clear"/>
        </w:rPr>
      </w:pPr>
      <w:r>
        <w:rPr>
          <w:rFonts w:eastAsia="Calibri" w:cs="Times New Roman" w:ascii="Times New Roman" w:hAnsi="Times New Roman"/>
          <w:i/>
          <w:iCs/>
          <w:color w:val="000000"/>
          <w:sz w:val="20"/>
          <w:szCs w:val="20"/>
          <w:shd w:fill="FFFFFF" w:val="clear"/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Пресс-служба АО «Почта России»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Александра Овдина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Раб. +7 (391) 219-17-60 доб. 02097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Тел. +7 (908) 213-11-10</w:t>
      </w:r>
    </w:p>
    <w:p>
      <w:pPr>
        <w:pStyle w:val="Normal"/>
        <w:spacing w:lineRule="auto" w:line="240" w:before="0" w:after="200"/>
        <w:jc w:val="both"/>
        <w:rPr/>
      </w:pPr>
      <w:hyperlink r:id="rId4">
        <w:bookmarkStart w:id="2" w:name="_GoBack"/>
        <w:bookmarkStart w:id="3" w:name="_PictureBullets"/>
        <w:bookmarkStart w:id="4" w:name="_GoBack_Копия_1_Копия_1"/>
        <w:bookmarkStart w:id="5" w:name="_Hlk219109036_Копия_1_Копия_1"/>
        <w:bookmarkStart w:id="6" w:name="_GoBack_Копия_1"/>
        <w:bookmarkStart w:id="7" w:name="_Hlk219109036_Копия_1_Копия_1_Копия_1"/>
        <w:bookmarkStart w:id="8" w:name="_GoBack_Копия_1_Копия_1_Копия_1_Копия_1"/>
        <w:bookmarkStart w:id="9" w:name="_GoBack_Копия_1_Копия_1_Копия_1"/>
        <w:bookmarkStart w:id="10" w:name="_Hlk219109036_Копия_1"/>
        <w:bookmarkStart w:id="11" w:name="_GoBack_Копия_1"/>
        <w:bookmarkEnd w:id="2"/>
        <w:bookmarkEnd w:id="3"/>
        <w:bookmarkEnd w:id="4"/>
        <w:bookmarkEnd w:id="5"/>
        <w:bookmarkEnd w:id="6"/>
        <w:bookmarkEnd w:id="7"/>
        <w:bookmarkEnd w:id="8"/>
        <w:bookmarkEnd w:id="9"/>
        <w:bookmarkEnd w:id="10"/>
        <w:bookmarkEnd w:id="11"/>
        <w:r>
          <w:rPr>
            <w:rStyle w:val="Hyperlink"/>
            <w:rFonts w:eastAsia="Times New Roman" w:cs="Times New Roman" w:ascii="Times New Roman" w:hAnsi="Times New Roman"/>
            <w:color w:val="0000FF"/>
            <w:sz w:val="24"/>
            <w:szCs w:val="24"/>
          </w:rPr>
          <w:t>Ovdina-A@russianpost.ru</w:t>
        </w:r>
      </w:hyperlink>
    </w:p>
    <w:p>
      <w:pPr>
        <w:pStyle w:val="NormalWeb"/>
        <w:spacing w:lineRule="auto" w:line="254" w:beforeAutospacing="0" w:before="0" w:afterAutospacing="0" w:after="16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4" w:before="0" w:after="16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267b8"/>
    <w:pPr>
      <w:widowControl/>
      <w:bidi w:val="0"/>
      <w:spacing w:lineRule="auto" w:line="254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semiHidden/>
    <w:unhideWhenUsed/>
    <w:rsid w:val="005267b8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  <w:style w:type="paragraph" w:styleId="NormalWeb">
    <w:name w:val="Normal (Web)"/>
    <w:basedOn w:val="Normal"/>
    <w:uiPriority w:val="99"/>
    <w:semiHidden/>
    <w:unhideWhenUsed/>
    <w:qFormat/>
    <w:rsid w:val="005267b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rt-solar.ru/" TargetMode="External"/><Relationship Id="rId4" Type="http://schemas.openxmlformats.org/officeDocument/2006/relationships/hyperlink" Target="mailto:Ovdina-A@russianpost.ru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LibreOffice/24.8.5.2$Linux_X86_64 LibreOffice_project/480$Build-2</Application>
  <AppVersion>15.0000</AppVersion>
  <Pages>2</Pages>
  <Words>574</Words>
  <Characters>4232</Characters>
  <CharactersWithSpaces>4898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2026-09-23T08:30:00Z</dcterms:created>
  <dc:creator>Назарова Ольга Николаевна</dc:creator>
  <dc:description/>
  <dc:language>ru-RU</dc:language>
  <cp:lastModifiedBy/>
  <dcterms:modified xsi:type="dcterms:W3CDTF">2026-09-24T08:49:40Z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