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053"/>
        <w:gridCol w:w="2517"/>
      </w:tblGrid>
      <w:tr>
        <w:trPr>
          <w:trHeight w:val="1719" w:hRule="atLeast"/>
        </w:trPr>
        <w:tc>
          <w:tcPr>
            <w:tcW w:w="7053" w:type="dxa"/>
            <w:tcBorders/>
          </w:tcPr>
          <w:p>
            <w:pPr>
              <w:pStyle w:val="Normal"/>
              <w:jc w:val="both"/>
              <w:rPr>
                <w:rFonts w:ascii="Times New Roman" w:hAnsi="Times New Roman" w:eastAsia="Arial Unicode MS" w:cs="Times New Roman"/>
                <w:b/>
                <w:bCs/>
                <w:color w:val="0000E6"/>
                <w:sz w:val="24"/>
                <w:szCs w:val="24"/>
                <w:u w:val="none" w:color="0B308C"/>
              </w:rPr>
            </w:pPr>
            <w:r>
              <w:rPr>
                <w:rFonts w:eastAsia="Arial Unicode MS" w:cs="Times New Roman" w:ascii="Times New Roman" w:hAnsi="Times New Roman"/>
                <w:b/>
                <w:bCs/>
                <w:color w:val="0000E6"/>
                <w:sz w:val="24"/>
                <w:szCs w:val="24"/>
                <w:u w:val="none" w:color="0B308C"/>
              </w:rPr>
            </w:r>
          </w:p>
          <w:p>
            <w:pPr>
              <w:pStyle w:val="Normal"/>
              <w:jc w:val="both"/>
              <w:rPr>
                <w:rFonts w:ascii="Times New Roman" w:hAnsi="Times New Roman" w:eastAsia="Arial Unicode MS" w:cs="Times New Roman"/>
                <w:b/>
                <w:bCs/>
                <w:color w:val="0000E6"/>
                <w:sz w:val="24"/>
                <w:szCs w:val="24"/>
                <w:u w:val="none" w:color="0B308C"/>
              </w:rPr>
            </w:pPr>
            <w:r>
              <w:rPr>
                <w:rFonts w:eastAsia="Arial Unicode MS" w:cs="Times New Roman" w:ascii="Times New Roman" w:hAnsi="Times New Roman"/>
                <w:b/>
                <w:bCs/>
                <w:color w:val="0000E6"/>
                <w:sz w:val="24"/>
                <w:szCs w:val="24"/>
                <w:u w:val="none" w:color="0B308C"/>
              </w:rPr>
            </w:r>
          </w:p>
          <w:p>
            <w:pPr>
              <w:pStyle w:val="Normal"/>
              <w:jc w:val="both"/>
              <w:rPr>
                <w:rFonts w:ascii="Times New Roman" w:hAnsi="Times New Roman" w:eastAsia="Arial Unicode MS" w:cs="Times New Roman"/>
                <w:b/>
                <w:bCs/>
                <w:color w:val="0000E6"/>
                <w:sz w:val="24"/>
                <w:szCs w:val="24"/>
                <w:u w:val="none" w:color="0B308C"/>
              </w:rPr>
            </w:pPr>
            <w:r>
              <w:rPr>
                <w:rFonts w:eastAsia="Arial Unicode MS" w:cs="Times New Roman" w:ascii="Times New Roman" w:hAnsi="Times New Roman"/>
                <w:b/>
                <w:bCs/>
                <w:color w:val="0000E6"/>
                <w:sz w:val="24"/>
                <w:szCs w:val="24"/>
                <w:u w:val="none" w:color="0B308C"/>
              </w:rPr>
              <w:t xml:space="preserve">ПРЕСС-РЕЛИЗ                                                                            </w:t>
            </w:r>
          </w:p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Arial Unicode MS" w:cs="Times New Roman"/>
                <w:color w:val="0000E6"/>
                <w:sz w:val="24"/>
                <w:szCs w:val="24"/>
                <w:u w:val="none" w:color="0B308C"/>
              </w:rPr>
            </w:pPr>
            <w:r>
              <w:rPr>
                <w:rFonts w:eastAsia="Arial Unicode MS" w:cs="Times New Roman" w:ascii="Times New Roman" w:hAnsi="Times New Roman"/>
                <w:color w:val="0000E6"/>
                <w:sz w:val="24"/>
                <w:szCs w:val="24"/>
                <w:u w:val="none" w:color="0B308C"/>
              </w:rPr>
              <w:t>2</w:t>
            </w:r>
            <w:r>
              <w:rPr>
                <w:rFonts w:eastAsia="Arial Unicode MS" w:cs="Times New Roman" w:ascii="Times New Roman" w:hAnsi="Times New Roman"/>
                <w:color w:val="0000E6"/>
                <w:sz w:val="24"/>
                <w:szCs w:val="24"/>
                <w:u w:val="none" w:color="0B308C"/>
              </w:rPr>
              <w:t>3</w:t>
            </w:r>
            <w:r>
              <w:rPr>
                <w:rFonts w:eastAsia="Arial Unicode MS" w:cs="Times New Roman" w:ascii="Times New Roman" w:hAnsi="Times New Roman"/>
                <w:color w:val="0000E6"/>
                <w:sz w:val="24"/>
                <w:szCs w:val="24"/>
                <w:u w:val="none" w:color="0B308C"/>
              </w:rPr>
              <w:t xml:space="preserve"> сентября 2026 </w:t>
            </w:r>
            <w:r>
              <mc:AlternateContent>
                <mc:Choice Requires="wps">
                  <w:drawing>
                    <wp:anchor behindDoc="0" distT="0" distB="0" distL="0" distR="0" simplePos="0" locked="0" layoutInCell="1" allowOverlap="1" relativeHeight="3" wp14:anchorId="199DDA12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635"/>
                      <wp:effectExtent l="12700" t="12700" r="13335" b="12700"/>
                      <wp:wrapNone/>
                      <wp:docPr id="1" name="Прямая соединительная линия 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4506480" cy="720"/>
                              </a:xfrm>
                              <a:prstGeom prst="line">
                                <a:avLst/>
                              </a:prstGeom>
                              <a:ln w="25400">
                                <a:solidFill>
                                  <a:srgbClr val="0000e6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-0.15pt,19.8pt" to="354.65pt,19.8pt" ID="Прямая соединительная линия 3" stroked="t" o:allowincell="f" style="position:absolute;flip:x" wp14:anchorId="199DDA12">
                      <v:stroke color="#0000e6" weight="25560" joinstyle="round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  <w:r>
              <w:rPr>
                <w:rFonts w:eastAsia="Arial Unicode MS" w:cs="Times New Roman" w:ascii="Times New Roman" w:hAnsi="Times New Roman"/>
                <w:color w:val="0000E6"/>
                <w:sz w:val="24"/>
                <w:szCs w:val="24"/>
                <w:u w:val="none" w:color="0B308C"/>
              </w:rPr>
              <w:t xml:space="preserve"> </w:t>
            </w:r>
          </w:p>
        </w:tc>
        <w:tc>
          <w:tcPr>
            <w:tcW w:w="2517" w:type="dxa"/>
            <w:tcBorders/>
          </w:tcPr>
          <w:p>
            <w:pPr>
              <w:pStyle w:val="Normal"/>
              <w:spacing w:lineRule="auto" w:line="288" w:before="120" w:after="120"/>
              <w:jc w:val="both"/>
              <w:rPr>
                <w:rFonts w:ascii="Times New Roman" w:hAnsi="Times New Roman" w:eastAsia="Times New Roman" w:cs="Times New Roman"/>
                <w:b/>
                <w:color w:val="0918DD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918DD"/>
                <w:sz w:val="24"/>
                <w:szCs w:val="24"/>
              </w:rPr>
              <w:t xml:space="preserve">              </w:t>
            </w:r>
            <w:r>
              <w:rPr/>
              <w:drawing>
                <wp:inline distT="0" distB="0" distL="0" distR="0">
                  <wp:extent cx="901700" cy="901700"/>
                  <wp:effectExtent l="0" t="0" r="0" b="0"/>
                  <wp:docPr id="2" name="Рисунок 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Normal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Почта России в MAКС: десятки тысяч операций и 19 000 пользователей</w:t>
      </w:r>
    </w:p>
    <w:p>
      <w:pPr>
        <w:pStyle w:val="Normal"/>
        <w:jc w:val="both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Менее года назад компания запустила в российском мессенджере МАКС собственную платформу для онлайн-коммуникации с клиентами, и уже около 19 000 человек пользуются ею на сегодняшний день.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За это время новый канал в МАКС перестал быть тестовой площадкой и превратился в полноценный рабочий инструмент: через него проходят до 3 000 обращений ежемесячно. 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Чат-бот помогает за секунды решать популярные запросы: оформлять и отслеживать отправления, находить ближайшие отделения на карте, вызывать курьера на дом и рассчитывать стоимость доставки по оптимальному тарифу. Если вопрос требует детального обсуждения, бот мгновенно переводит чат на специалиста контакт-центра, сохраняя всю историю переписки.</w:t>
      </w:r>
    </w:p>
    <w:p>
      <w:pPr>
        <w:pStyle w:val="Normal"/>
        <w:jc w:val="both"/>
        <w:rPr>
          <w:rFonts w:ascii="Times New Roman" w:hAnsi="Times New Roman" w:eastAsia="Times New Roman" w:cs="Times New Roman"/>
          <w:b/>
          <w:i/>
          <w:i/>
          <w:kern w:val="2"/>
          <w:sz w:val="20"/>
          <w:szCs w:val="20"/>
          <w14:ligatures w14:val="standardContextual"/>
        </w:rPr>
      </w:pPr>
      <w:r>
        <w:rPr>
          <w:rFonts w:eastAsia="Times New Roman" w:cs="Times New Roman" w:ascii="Times New Roman" w:hAnsi="Times New Roman"/>
          <w:i/>
          <w:sz w:val="24"/>
          <w:szCs w:val="24"/>
        </w:rPr>
        <w:t>«Технологическую стабильность работы цифрового помощника в мессенджере МАКС обеспечивает собственная омниканальная платформа Почты России. Это полностью изолированная браузерная версия сервисов, которая не требует интеграции с приложением. Все данные пользователей защищены российским шифрованием внутри закрытого цифрового периметра Почты», —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отметил директор Блока по управлению онлайн-каналами Почты России </w:t>
      </w: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Дахир Семенов</w:t>
      </w:r>
      <w:r>
        <w:rPr>
          <w:rFonts w:eastAsia="Times New Roman" w:cs="Times New Roman" w:ascii="Times New Roman" w:hAnsi="Times New Roman"/>
          <w:sz w:val="24"/>
          <w:szCs w:val="24"/>
        </w:rPr>
        <w:t>.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Платформа объединяет сайт, мобильное приложение, социальные сети («ВКонтакте», «Одноклассники»), маркетплейсы и мессенджер MAКС в единую бесшовную среду общения. В общей сложности активная аудитория цифровых кабинетов Почты составляет порядка 13 млн клиентов.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Запуск платформы состоялся в октябре 2025 г. Тогда же в мессенджере МАКС Почта запустила официальный новостной аккаунт. На сегодняшний день аудитория канала составляет порядка 8 000 уникальных пользователей.</w:t>
      </w:r>
    </w:p>
    <w:p>
      <w:pPr>
        <w:pStyle w:val="Normal"/>
        <w:jc w:val="both"/>
        <w:rPr>
          <w:rFonts w:ascii="Times New Roman" w:hAnsi="Times New Roman" w:eastAsia="Times New Roman" w:cs="Times New Roman"/>
          <w:b/>
          <w:i/>
          <w:i/>
          <w:kern w:val="2"/>
          <w:sz w:val="20"/>
          <w:szCs w:val="20"/>
          <w14:ligatures w14:val="standardContextual"/>
        </w:rPr>
      </w:pPr>
      <w:r>
        <w:rPr>
          <w:rFonts w:eastAsia="Times New Roman" w:cs="Times New Roman" w:ascii="Times New Roman" w:hAnsi="Times New Roman"/>
          <w:b/>
          <w:i/>
          <w:kern w:val="2"/>
          <w:sz w:val="20"/>
          <w:szCs w:val="20"/>
          <w14:ligatures w14:val="standardContextual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kern w:val="2"/>
          <w:sz w:val="20"/>
          <w:szCs w:val="20"/>
          <w14:ligatures w14:val="standardContextual"/>
        </w:rPr>
        <w:t>Справочно:</w:t>
      </w:r>
    </w:p>
    <w:p>
      <w:pPr>
        <w:pStyle w:val="Normal"/>
        <w:spacing w:lineRule="auto" w:line="288" w:before="120" w:after="120"/>
        <w:jc w:val="both"/>
        <w:rPr>
          <w:rFonts w:ascii="Times New Roman" w:hAnsi="Times New Roman" w:eastAsia="Calibri" w:cs="Times New Roman"/>
          <w:i/>
          <w:i/>
          <w:iCs/>
          <w:color w:val="000000"/>
          <w:sz w:val="20"/>
          <w:szCs w:val="20"/>
        </w:rPr>
      </w:pPr>
      <w:r>
        <w:rPr>
          <w:rFonts w:eastAsia="Calibri" w:cs="Times New Roman" w:ascii="Times New Roman" w:hAnsi="Times New Roman"/>
          <w:b/>
          <w:bCs/>
          <w:i/>
          <w:iCs/>
          <w:color w:val="000000"/>
          <w:sz w:val="20"/>
          <w:szCs w:val="20"/>
        </w:rPr>
        <w:t>АО «Почта России»</w:t>
      </w:r>
      <w:r>
        <w:rPr>
          <w:rFonts w:eastAsia="Calibri" w:cs="Times New Roman" w:ascii="Times New Roman" w:hAnsi="Times New Roman"/>
          <w:i/>
          <w:iCs/>
          <w:color w:val="000000"/>
          <w:sz w:val="20"/>
          <w:szCs w:val="20"/>
        </w:rPr>
        <w:t xml:space="preserve"> — крупнейший федеральный почтовый и логистический оператор страны, входит в перечень стратегических предприятий Российской Федерации. Седьмая крупнейшая компания в мире по количеству отделений обслуживания клиентов — свыше 38 000 точек, порядка 66% из которых находятся в малых населенных пунктах. Среднемесячная протяженность логистических маршрутов Почты составляет 64 млн километров. </w:t>
      </w:r>
    </w:p>
    <w:p>
      <w:pPr>
        <w:pStyle w:val="Normal"/>
        <w:spacing w:lineRule="auto" w:line="288" w:before="120" w:after="120"/>
        <w:jc w:val="both"/>
        <w:rPr>
          <w:rFonts w:ascii="Times New Roman" w:hAnsi="Times New Roman" w:eastAsia="Calibri" w:cs="Times New Roman"/>
          <w:i/>
          <w:i/>
          <w:iCs/>
          <w:color w:val="000000"/>
          <w:sz w:val="20"/>
          <w:szCs w:val="20"/>
        </w:rPr>
      </w:pPr>
      <w:r>
        <w:rPr>
          <w:rFonts w:eastAsia="Calibri" w:cs="Times New Roman" w:ascii="Times New Roman" w:hAnsi="Times New Roman"/>
          <w:i/>
          <w:iCs/>
          <w:color w:val="000000"/>
          <w:sz w:val="20"/>
          <w:szCs w:val="20"/>
        </w:rPr>
        <w:t>Ежегодно Почта России принимает более 1 млрд бумажных отправлений и обрабатывает более 90 млн посылок.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</w:t>
      </w:r>
      <w:r>
        <w:rPr>
          <w:rFonts w:eastAsia="Calibri" w:cs="Times New Roman" w:ascii="Times New Roman" w:hAnsi="Times New Roman"/>
          <w:i/>
          <w:iCs/>
          <w:color w:val="000000"/>
          <w:sz w:val="20"/>
          <w:szCs w:val="20"/>
        </w:rPr>
        <w:t>Компания помогает переводить юридически значимую переписку в цифровой формат — в 2025 г. Почта доставила порядка 380 млн писем в электронном и гибридном формате.</w:t>
      </w:r>
    </w:p>
    <w:p>
      <w:pPr>
        <w:pStyle w:val="Normal"/>
        <w:spacing w:lineRule="auto" w:line="288" w:before="120" w:after="120"/>
        <w:jc w:val="both"/>
        <w:rPr>
          <w:rFonts w:ascii="Times New Roman" w:hAnsi="Times New Roman" w:eastAsia="Calibri" w:cs="Times New Roman"/>
          <w:i/>
          <w:i/>
          <w:iCs/>
          <w:color w:val="000000"/>
          <w:sz w:val="20"/>
          <w:szCs w:val="20"/>
          <w:shd w:fill="FFFFFF" w:val="clear"/>
        </w:rPr>
      </w:pPr>
      <w:r>
        <w:rPr>
          <w:rFonts w:eastAsia="Calibri" w:cs="Times New Roman" w:ascii="Times New Roman" w:hAnsi="Times New Roman"/>
          <w:i/>
          <w:iCs/>
          <w:color w:val="000000"/>
          <w:sz w:val="20"/>
          <w:szCs w:val="20"/>
          <w:shd w:fill="FFFFFF" w:val="clear"/>
        </w:rPr>
        <w:t>Почтово-логистический оператор следит за сохранностью всех отправлений, включая онлайн-заказы. На октябрь 2025 г. этот показатель достигает 99,99%.</w:t>
      </w:r>
    </w:p>
    <w:p>
      <w:pPr>
        <w:pStyle w:val="Normal"/>
        <w:spacing w:lineRule="auto" w:line="240"/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Пресс-служба АО «Почта России»</w:t>
      </w:r>
    </w:p>
    <w:p>
      <w:pPr>
        <w:pStyle w:val="Normal"/>
        <w:spacing w:lineRule="auto" w:line="240"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</w:rPr>
        <w:t>Александра Овдина</w:t>
      </w:r>
    </w:p>
    <w:p>
      <w:pPr>
        <w:pStyle w:val="Normal"/>
        <w:spacing w:lineRule="auto" w:line="240"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</w:rPr>
        <w:t>Раб. +7 (391) 219-17-60 доб. 02097</w:t>
      </w:r>
    </w:p>
    <w:p>
      <w:pPr>
        <w:pStyle w:val="Normal"/>
        <w:spacing w:lineRule="auto" w:line="240"/>
        <w:jc w:val="both"/>
        <w:rPr>
          <w:rFonts w:ascii="Times New Roman" w:hAnsi="Times New Roman" w:eastAsia="Times New Roman" w:cs="Times New Roman"/>
          <w:bCs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color w:val="000000"/>
          <w:sz w:val="24"/>
          <w:szCs w:val="24"/>
        </w:rPr>
        <w:t>Тел. +7 (908) 213-11-10</w:t>
      </w:r>
    </w:p>
    <w:p>
      <w:pPr>
        <w:pStyle w:val="Normal"/>
        <w:spacing w:lineRule="auto" w:line="240" w:before="0" w:after="200"/>
        <w:jc w:val="both"/>
        <w:rPr/>
      </w:pPr>
      <w:hyperlink r:id="rId3">
        <w:bookmarkStart w:id="1" w:name="_GoBack"/>
        <w:bookmarkStart w:id="2" w:name="_Hlk219109036_Копия_1"/>
        <w:bookmarkStart w:id="3" w:name="_GoBack_Копия_1_Копия_1_Копия_1"/>
        <w:bookmarkStart w:id="4" w:name="_GoBack_Копия_1_Копия_1_Копия_1_Копия_1"/>
        <w:bookmarkStart w:id="5" w:name="_Hlk219109036_Копия_1_Копия_1_Копия_1"/>
        <w:bookmarkStart w:id="6" w:name="_GoBack_Копия_1"/>
        <w:bookmarkStart w:id="7" w:name="_Hlk219109036_Копия_1_Копия_1"/>
        <w:bookmarkStart w:id="8" w:name="_GoBack_Копия_1_Копия_1"/>
        <w:bookmarkStart w:id="9" w:name="_PictureBullets"/>
        <w:bookmarkEnd w:id="1"/>
        <w:bookmarkEnd w:id="2"/>
        <w:bookmarkEnd w:id="3"/>
        <w:bookmarkEnd w:id="4"/>
        <w:bookmarkEnd w:id="5"/>
        <w:bookmarkEnd w:id="6"/>
        <w:bookmarkEnd w:id="7"/>
        <w:bookmarkEnd w:id="8"/>
        <w:bookmarkEnd w:id="9"/>
        <w:r>
          <w:rPr>
            <w:rStyle w:val="Hyperlink"/>
            <w:rFonts w:eastAsia="Times New Roman" w:cs="Times New Roman" w:ascii="Times New Roman" w:hAnsi="Times New Roman"/>
            <w:color w:val="0000FF"/>
          </w:rPr>
          <w:t>Ovdina-A@russianpost.ru</w:t>
        </w:r>
      </w:hyperlink>
    </w:p>
    <w:p>
      <w:pPr>
        <w:pStyle w:val="NormalWeb"/>
        <w:spacing w:lineRule="auto" w:line="256" w:beforeAutospacing="0" w:before="0" w:afterAutospacing="0" w:after="160"/>
        <w:jc w:val="both"/>
        <w:rPr>
          <w:b/>
          <w:bCs/>
        </w:rPr>
      </w:pPr>
      <w:r>
        <w:rPr>
          <w:b/>
          <w:bCs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7452a5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nhideWhenUsed/>
    <w:rsid w:val="007452a5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6371a8"/>
    <w:rPr>
      <w:b/>
      <w:bCs/>
    </w:rPr>
  </w:style>
  <w:style w:type="character" w:styleId="FollowedHyperlink">
    <w:name w:val="FollowedHyperlink"/>
    <w:basedOn w:val="DefaultParagraphFont"/>
    <w:rPr>
      <w:color w:val="954F72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Noto Sans"/>
    </w:rPr>
  </w:style>
  <w:style w:type="paragraph" w:styleId="NormalWeb">
    <w:name w:val="Normal (Web)"/>
    <w:basedOn w:val="Normal"/>
    <w:uiPriority w:val="99"/>
    <w:unhideWhenUsed/>
    <w:qFormat/>
    <w:rsid w:val="007452a5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Ovdina-A@russianpost.ru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Application>LibreOffice/24.8.5.2$Linux_X86_64 LibreOffice_project/480$Build-2</Application>
  <AppVersion>15.0000</AppVersion>
  <Pages>2</Pages>
  <Words>337</Words>
  <Characters>2307</Characters>
  <CharactersWithSpaces>2724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2026-09-21T15:35:00Z</dcterms:created>
  <dc:creator>Назарова Ольга Николаевна</dc:creator>
  <dc:description/>
  <dc:language>ru-RU</dc:language>
  <cp:lastModifiedBy/>
  <dcterms:modified xsi:type="dcterms:W3CDTF">2026-09-23T08:58:14Z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