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57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7053"/>
        <w:gridCol w:w="2517"/>
      </w:tblGrid>
      <w:tr>
        <w:trPr>
          <w:trHeight w:val="1719" w:hRule="atLeast"/>
        </w:trPr>
        <w:tc>
          <w:tcPr>
            <w:tcW w:w="7053" w:type="dxa"/>
            <w:tcBorders/>
          </w:tcPr>
          <w:p>
            <w:pPr>
              <w:pStyle w:val="Normal"/>
              <w:jc w:val="both"/>
              <w:rPr>
                <w:rFonts w:ascii="Times New Roman" w:hAnsi="Times New Roman" w:eastAsia="Arial Unicode MS" w:cs="Times New Roman"/>
                <w:b/>
                <w:bCs/>
                <w:color w:val="0000E6"/>
                <w:sz w:val="24"/>
                <w:szCs w:val="24"/>
                <w:u w:val="none" w:color="0B308C"/>
                <w:lang w:val="en-US"/>
              </w:rPr>
            </w:pPr>
            <w:r>
              <w:rPr>
                <w:rFonts w:eastAsia="Arial Unicode MS" w:cs="Times New Roman" w:ascii="Times New Roman" w:hAnsi="Times New Roman"/>
                <w:b/>
                <w:bCs/>
                <w:color w:val="0000E6"/>
                <w:sz w:val="24"/>
                <w:szCs w:val="24"/>
                <w:u w:val="none" w:color="0B308C"/>
                <w:lang w:val="en-US"/>
              </w:rPr>
            </w:r>
          </w:p>
          <w:p>
            <w:pPr>
              <w:pStyle w:val="Normal"/>
              <w:jc w:val="both"/>
              <w:rPr>
                <w:rFonts w:ascii="Times New Roman" w:hAnsi="Times New Roman" w:eastAsia="Arial Unicode MS" w:cs="Times New Roman"/>
                <w:b/>
                <w:bCs/>
                <w:color w:val="0000E6"/>
                <w:sz w:val="24"/>
                <w:szCs w:val="24"/>
                <w:u w:val="none" w:color="0B308C"/>
              </w:rPr>
            </w:pPr>
            <w:r>
              <w:rPr>
                <w:rFonts w:eastAsia="Arial Unicode MS" w:cs="Times New Roman" w:ascii="Times New Roman" w:hAnsi="Times New Roman"/>
                <w:b/>
                <w:bCs/>
                <w:color w:val="0000E6"/>
                <w:sz w:val="24"/>
                <w:szCs w:val="24"/>
                <w:u w:val="none" w:color="0B308C"/>
              </w:rPr>
            </w:r>
          </w:p>
          <w:p>
            <w:pPr>
              <w:pStyle w:val="Normal"/>
              <w:jc w:val="both"/>
              <w:rPr>
                <w:rFonts w:ascii="Times New Roman" w:hAnsi="Times New Roman" w:eastAsia="Arial Unicode MS" w:cs="Times New Roman"/>
                <w:b/>
                <w:bCs/>
                <w:color w:val="0000E6"/>
                <w:sz w:val="24"/>
                <w:szCs w:val="24"/>
                <w:u w:val="none" w:color="0B308C"/>
              </w:rPr>
            </w:pPr>
            <w:r>
              <w:rPr>
                <w:rFonts w:eastAsia="Arial Unicode MS" w:cs="Times New Roman" w:ascii="Times New Roman" w:hAnsi="Times New Roman"/>
                <w:b/>
                <w:bCs/>
                <w:color w:val="0000E6"/>
                <w:sz w:val="24"/>
                <w:szCs w:val="24"/>
                <w:u w:val="none" w:color="0B308C"/>
              </w:rPr>
              <w:t xml:space="preserve">ПРЕСС-РЕЛИЗ                                                                            </w:t>
            </w:r>
          </w:p>
          <w:p>
            <w:pPr>
              <w:pStyle w:val="Normal"/>
              <w:spacing w:before="0" w:after="160"/>
              <w:jc w:val="both"/>
              <w:rPr>
                <w:rFonts w:ascii="Times New Roman" w:hAnsi="Times New Roman" w:eastAsia="Arial Unicode MS" w:cs="Times New Roman"/>
                <w:color w:val="0000E6"/>
                <w:sz w:val="24"/>
                <w:szCs w:val="24"/>
                <w:u w:val="none" w:color="0B308C"/>
              </w:rPr>
            </w:pPr>
            <w:r>
              <w:rPr>
                <w:rFonts w:eastAsia="Arial Unicode MS" w:cs="Times New Roman" w:ascii="Times New Roman" w:hAnsi="Times New Roman"/>
                <w:color w:val="0000E6"/>
                <w:sz w:val="24"/>
                <w:szCs w:val="24"/>
                <w:u w:val="none" w:color="0B308C"/>
              </w:rPr>
              <w:t>1</w:t>
            </w:r>
            <w:r>
              <w:rPr>
                <w:rFonts w:eastAsia="Arial Unicode MS" w:cs="Times New Roman" w:ascii="Times New Roman" w:hAnsi="Times New Roman"/>
                <w:color w:val="0000E6"/>
                <w:sz w:val="24"/>
                <w:szCs w:val="24"/>
                <w:u w:val="none" w:color="0B308C"/>
              </w:rPr>
              <w:t>5</w:t>
            </w:r>
            <w:r>
              <w:rPr>
                <w:rFonts w:eastAsia="Arial Unicode MS" w:cs="Times New Roman" w:ascii="Times New Roman" w:hAnsi="Times New Roman"/>
                <w:color w:val="0000E6"/>
                <w:sz w:val="24"/>
                <w:szCs w:val="24"/>
                <w:u w:val="none" w:color="0B308C"/>
              </w:rPr>
              <w:t xml:space="preserve"> сентября 2026 </w:t>
            </w:r>
            <w:r>
              <mc:AlternateContent>
                <mc:Choice Requires="wps">
                  <w:drawing>
                    <wp:anchor behindDoc="0" distT="0" distB="0" distL="0" distR="0" simplePos="0" locked="0" layoutInCell="1" allowOverlap="1" relativeHeight="3" wp14:anchorId="7D568E6D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251460</wp:posOffset>
                      </wp:positionV>
                      <wp:extent cx="4506595" cy="635"/>
                      <wp:effectExtent l="12700" t="12700" r="13335" b="12700"/>
                      <wp:wrapNone/>
                      <wp:docPr id="1" name="Прямая соединительная линия 3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506480" cy="720"/>
                              </a:xfrm>
                              <a:prstGeom prst="line">
                                <a:avLst/>
                              </a:prstGeom>
                              <a:ln w="25400">
                                <a:solidFill>
                                  <a:srgbClr val="0000e6"/>
                                </a:solidFill>
                                <a:round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-0.15pt,19.8pt" to="354.65pt,19.8pt" ID="Прямая соединительная линия 3" stroked="t" o:allowincell="f" style="position:absolute;flip:x" wp14:anchorId="7D568E6D">
                      <v:stroke color="#0000e6" weight="25560" joinstyle="round" endcap="flat"/>
                      <v:fill o:detectmouseclick="t" on="false"/>
                      <w10:wrap type="none"/>
                    </v:line>
                  </w:pict>
                </mc:Fallback>
              </mc:AlternateContent>
            </w:r>
            <w:r>
              <w:rPr>
                <w:rFonts w:eastAsia="Arial Unicode MS" w:cs="Times New Roman" w:ascii="Times New Roman" w:hAnsi="Times New Roman"/>
                <w:color w:val="0000E6"/>
                <w:sz w:val="24"/>
                <w:szCs w:val="24"/>
                <w:u w:val="none" w:color="0B308C"/>
              </w:rPr>
              <w:t xml:space="preserve"> </w:t>
            </w:r>
          </w:p>
        </w:tc>
        <w:tc>
          <w:tcPr>
            <w:tcW w:w="2517" w:type="dxa"/>
            <w:tcBorders/>
          </w:tcPr>
          <w:p>
            <w:pPr>
              <w:pStyle w:val="Normal"/>
              <w:spacing w:lineRule="auto" w:line="288" w:before="120" w:after="120"/>
              <w:jc w:val="both"/>
              <w:rPr>
                <w:rFonts w:ascii="Times New Roman" w:hAnsi="Times New Roman" w:eastAsia="Times New Roman" w:cs="Times New Roman"/>
                <w:b/>
                <w:color w:val="0918DD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0918DD"/>
                <w:sz w:val="24"/>
                <w:szCs w:val="24"/>
              </w:rPr>
              <w:t xml:space="preserve">              </w:t>
            </w:r>
            <w:r>
              <w:rPr/>
              <w:drawing>
                <wp:inline distT="0" distB="0" distL="0" distR="0">
                  <wp:extent cx="901700" cy="901700"/>
                  <wp:effectExtent l="0" t="0" r="0" b="0"/>
                  <wp:docPr id="2" name="Рисунок 4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4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1700" cy="901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pStyle w:val="NormalWeb"/>
        <w:spacing w:lineRule="auto" w:line="256" w:beforeAutospacing="0" w:before="0" w:afterAutospacing="0"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Web"/>
        <w:spacing w:lineRule="auto" w:line="256" w:beforeAutospacing="0" w:before="0" w:afterAutospacing="0" w:after="160"/>
        <w:jc w:val="center"/>
        <w:rPr>
          <w:b/>
          <w:bCs/>
          <w:sz w:val="28"/>
          <w:szCs w:val="28"/>
        </w:rPr>
      </w:pPr>
      <w:bookmarkStart w:id="0" w:name="_GoBack"/>
      <w:bookmarkEnd w:id="0"/>
      <w:r>
        <w:rPr>
          <w:b/>
          <w:bCs/>
          <w:sz w:val="28"/>
          <w:szCs w:val="28"/>
        </w:rPr>
        <w:t>Подписка на детские издания на 20% дешевле</w:t>
      </w:r>
    </w:p>
    <w:p>
      <w:pPr>
        <w:pStyle w:val="NormalWeb"/>
        <w:spacing w:lineRule="atLeast" w:line="360" w:before="280" w:after="280"/>
        <w:jc w:val="both"/>
        <w:rPr>
          <w:b/>
          <w:bCs/>
          <w:kern w:val="2"/>
          <w14:ligatures w14:val="standardContextual"/>
        </w:rPr>
      </w:pPr>
      <w:r>
        <w:rPr>
          <w:b/>
          <w:bCs/>
          <w:kern w:val="2"/>
          <w14:ligatures w14:val="standardContextual"/>
        </w:rPr>
        <w:t xml:space="preserve">С 14 по 27 сентября Почта России совместно с издателями предлагает оформить подписку со скидкой до 20% на избранные издания для детей и родителей. </w:t>
      </w:r>
    </w:p>
    <w:p>
      <w:pPr>
        <w:pStyle w:val="NormalWeb"/>
        <w:spacing w:lineRule="atLeast" w:line="360" w:before="280" w:after="280"/>
        <w:jc w:val="both"/>
        <w:rPr/>
      </w:pPr>
      <w:r>
        <w:rPr/>
        <w:t>С 14 по 27 сентября на сайте и в отделениях Почты России можно подписаться на периодические издания для детей, родителей и учителей со скидкой до 20%. Воспользоваться предложением можно во всех почтовых отделениях, на </w:t>
      </w:r>
      <w:hyperlink r:id="rId3">
        <w:r>
          <w:rPr>
            <w:rStyle w:val="Hyperlink"/>
          </w:rPr>
          <w:t>сайте</w:t>
        </w:r>
      </w:hyperlink>
      <w:r>
        <w:rPr/>
        <w:t>, в мобильном приложении Почты России, а также у почтальонов, которые оформляют подписку при помощи мобильных почтово-кассовых терминалов. У клиентов, выписывающих периодику онлайн, есть возможность выбрать нужное издание по названию или подписному индексу, теме, алфавиту, интересам, а оформление займёт всего несколько минут.</w:t>
      </w:r>
    </w:p>
    <w:p>
      <w:pPr>
        <w:pStyle w:val="NormalWeb"/>
        <w:spacing w:lineRule="atLeast" w:line="360" w:before="280" w:after="280"/>
        <w:jc w:val="both"/>
        <w:rPr/>
      </w:pPr>
      <w:r>
        <w:rPr/>
        <w:t>Клиенты Почты также могут оформить благотворительную подписку на журналы и газеты для детей, оставшихся без попечения родителей или проходящих через трудные жизненные обстоятельства. Для этого в почтовых отделениях или на страницах акции </w:t>
      </w:r>
      <w:hyperlink r:id="rId4">
        <w:r>
          <w:rPr>
            <w:rStyle w:val="Hyperlink"/>
          </w:rPr>
          <w:t>«Дерево добра»</w:t>
        </w:r>
      </w:hyperlink>
      <w:r>
        <w:rPr/>
        <w:t xml:space="preserve"> необходимо выбрать регион и социальное учреждение — детский дом или приют, в адрес которого будет оформлена подписка. </w:t>
        <w:softHyphen/>
        <w:softHyphen/>
      </w:r>
    </w:p>
    <w:p>
      <w:pPr>
        <w:pStyle w:val="Normal"/>
        <w:spacing w:lineRule="auto" w:line="240" w:before="192" w:after="1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i/>
          <w:kern w:val="2"/>
          <w:sz w:val="20"/>
          <w:szCs w:val="20"/>
          <w14:ligatures w14:val="standardContextual"/>
        </w:rPr>
        <w:t>Справочно:</w:t>
      </w:r>
    </w:p>
    <w:p>
      <w:pPr>
        <w:pStyle w:val="Normal"/>
        <w:spacing w:lineRule="auto" w:line="288" w:before="120" w:after="120"/>
        <w:jc w:val="both"/>
        <w:rPr>
          <w:rFonts w:ascii="Times New Roman" w:hAnsi="Times New Roman" w:eastAsia="Calibri" w:cs="Times New Roman"/>
          <w:i/>
          <w:i/>
          <w:iCs/>
          <w:color w:val="000000"/>
          <w:sz w:val="20"/>
          <w:szCs w:val="20"/>
        </w:rPr>
      </w:pPr>
      <w:r>
        <w:rPr>
          <w:rFonts w:eastAsia="Calibri" w:cs="Times New Roman" w:ascii="Times New Roman" w:hAnsi="Times New Roman"/>
          <w:b/>
          <w:bCs/>
          <w:i/>
          <w:iCs/>
          <w:color w:val="000000"/>
          <w:sz w:val="20"/>
          <w:szCs w:val="20"/>
        </w:rPr>
        <w:t>АО «Почта России»</w:t>
      </w:r>
      <w:r>
        <w:rPr>
          <w:rFonts w:eastAsia="Calibri" w:cs="Times New Roman" w:ascii="Times New Roman" w:hAnsi="Times New Roman"/>
          <w:i/>
          <w:iCs/>
          <w:color w:val="000000"/>
          <w:sz w:val="20"/>
          <w:szCs w:val="20"/>
        </w:rPr>
        <w:t xml:space="preserve"> — крупнейший федеральный почтовый и логистический оператор страны, входит в перечень стратегических предприятий Российской Федерации. Седьмая крупнейшая компания в мире по количеству отделений обслуживания клиентов — свыше 38 000 точек, порядка 66% из которых находятся в малых населенных пунктах. Среднемесячная протяженность логистических маршрутов Почты составляет 64 млн километров. </w:t>
      </w:r>
    </w:p>
    <w:p>
      <w:pPr>
        <w:pStyle w:val="Normal"/>
        <w:spacing w:lineRule="auto" w:line="288" w:before="120" w:after="120"/>
        <w:jc w:val="both"/>
        <w:rPr>
          <w:rFonts w:ascii="Times New Roman" w:hAnsi="Times New Roman" w:eastAsia="Calibri" w:cs="Times New Roman"/>
          <w:i/>
          <w:i/>
          <w:iCs/>
          <w:color w:val="000000"/>
          <w:sz w:val="20"/>
          <w:szCs w:val="20"/>
        </w:rPr>
      </w:pPr>
      <w:r>
        <w:rPr>
          <w:rFonts w:eastAsia="Calibri" w:cs="Times New Roman" w:ascii="Times New Roman" w:hAnsi="Times New Roman"/>
          <w:i/>
          <w:iCs/>
          <w:color w:val="000000"/>
          <w:sz w:val="20"/>
          <w:szCs w:val="20"/>
        </w:rPr>
        <w:t>Ежегодно Почта России принимает более 1 млрд бумажных отправлений и обрабатывает более 90 млн посылок.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</w:t>
      </w:r>
      <w:r>
        <w:rPr>
          <w:rFonts w:eastAsia="Calibri" w:cs="Times New Roman" w:ascii="Times New Roman" w:hAnsi="Times New Roman"/>
          <w:i/>
          <w:iCs/>
          <w:color w:val="000000"/>
          <w:sz w:val="20"/>
          <w:szCs w:val="20"/>
        </w:rPr>
        <w:t>Компания помогает переводить юридически значимую переписку в цифровой формат — в 2025 г. Почта доставила порядка 380 млн писем в электронном и гибридном формате.</w:t>
      </w:r>
    </w:p>
    <w:p>
      <w:pPr>
        <w:pStyle w:val="Normal"/>
        <w:spacing w:lineRule="auto" w:line="288" w:before="120" w:after="120"/>
        <w:jc w:val="both"/>
        <w:rPr>
          <w:rFonts w:ascii="Times New Roman" w:hAnsi="Times New Roman" w:eastAsia="Calibri" w:cs="Times New Roman"/>
          <w:i/>
          <w:i/>
          <w:iCs/>
          <w:color w:val="000000"/>
          <w:sz w:val="20"/>
          <w:szCs w:val="20"/>
          <w:shd w:fill="FFFFFF" w:val="clear"/>
        </w:rPr>
      </w:pPr>
      <w:r>
        <w:rPr>
          <w:rFonts w:eastAsia="Calibri" w:cs="Times New Roman" w:ascii="Times New Roman" w:hAnsi="Times New Roman"/>
          <w:i/>
          <w:iCs/>
          <w:color w:val="000000"/>
          <w:sz w:val="20"/>
          <w:szCs w:val="20"/>
          <w:shd w:fill="FFFFFF" w:val="clear"/>
        </w:rPr>
        <w:t>Почтово-логистический оператор следит за сохранностью всех отправлений, включая онлайн-заказы. На октябрь 2025 г. этот показатель достигает 99,99%.</w:t>
      </w:r>
    </w:p>
    <w:p>
      <w:pPr>
        <w:pStyle w:val="Normal"/>
        <w:spacing w:lineRule="auto" w:line="288"/>
        <w:jc w:val="both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Пресс-служба АО «Почта России»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eastAsia="Times New Roman" w:cs="Times New Roman"/>
          <w:bCs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bCs/>
          <w:color w:val="000000"/>
          <w:sz w:val="24"/>
          <w:szCs w:val="24"/>
        </w:rPr>
        <w:t>Александра Овдина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eastAsia="Times New Roman" w:cs="Times New Roman"/>
          <w:b w:val="false"/>
          <w:bCs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b w:val="false"/>
          <w:bCs/>
          <w:i w:val="false"/>
          <w:caps w:val="false"/>
          <w:smallCaps w:val="false"/>
          <w:color w:val="000000"/>
          <w:spacing w:val="0"/>
          <w:sz w:val="24"/>
          <w:szCs w:val="24"/>
        </w:rPr>
        <w:t>Раб. +7 (391) 219-17-60 доб. 02097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eastAsia="Times New Roman" w:cs="Times New Roman"/>
          <w:bCs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bCs/>
          <w:color w:val="000000"/>
          <w:sz w:val="24"/>
          <w:szCs w:val="24"/>
        </w:rPr>
        <w:t>Тел. +7 (908) 213-11-10</w:t>
      </w:r>
    </w:p>
    <w:p>
      <w:pPr>
        <w:pStyle w:val="Normal"/>
        <w:spacing w:lineRule="auto" w:line="360" w:before="0" w:after="0"/>
        <w:jc w:val="both"/>
        <w:rPr/>
      </w:pPr>
      <w:hyperlink r:id="rId5">
        <w:bookmarkStart w:id="1" w:name="_Hlk219109036_Копия_1_Копия_1"/>
        <w:bookmarkStart w:id="2" w:name="_Hlk219109036_Копия_1"/>
        <w:bookmarkStart w:id="3" w:name="_Hlk219109036_Копия_1_Копия_1"/>
        <w:bookmarkStart w:id="4" w:name="_Hlk219109036_Копия_1_Копия_1_Копия_1"/>
        <w:bookmarkStart w:id="5" w:name="_GoBack_Копия_1_Копия_1_Копия_1"/>
        <w:bookmarkStart w:id="6" w:name="_GoBack_Копия_1_Копия_1_Копия_1_Копия_1"/>
        <w:bookmarkStart w:id="7" w:name="_GoBack_Копия_1"/>
        <w:bookmarkStart w:id="8" w:name="_GoBack_Копия_1_Копия_1"/>
        <w:bookmarkEnd w:id="1"/>
        <w:bookmarkEnd w:id="2"/>
        <w:bookmarkEnd w:id="3"/>
        <w:bookmarkEnd w:id="4"/>
        <w:bookmarkEnd w:id="5"/>
        <w:bookmarkEnd w:id="6"/>
        <w:bookmarkEnd w:id="7"/>
        <w:bookmarkEnd w:id="8"/>
        <w:r>
          <w:rPr>
            <w:rStyle w:val="Hyperlink"/>
            <w:rFonts w:eastAsia="Times New Roman" w:cs="Times New Roman" w:ascii="Times New Roman" w:hAnsi="Times New Roman"/>
            <w:b/>
            <w:bCs/>
            <w:i w:val="false"/>
            <w:iCs w:val="false"/>
            <w:color w:val="0000FF"/>
            <w:sz w:val="24"/>
            <w:szCs w:val="24"/>
            <w:u w:val="single"/>
            <w:shd w:fill="auto" w:val="clear"/>
            <w:lang w:val="ru-RU" w:eastAsia="ru-RU"/>
          </w:rPr>
          <w:t>Ovdina-A@russianpost.ru</w:t>
        </w:r>
      </w:hyperlink>
    </w:p>
    <w:p>
      <w:pPr>
        <w:pStyle w:val="NormalWeb"/>
        <w:spacing w:lineRule="auto" w:line="256" w:beforeAutospacing="0" w:before="0" w:afterAutospacing="0" w:after="160"/>
        <w:jc w:val="both"/>
        <w:rPr>
          <w:b/>
          <w:bCs/>
        </w:rPr>
      </w:pPr>
      <w:r>
        <w:rPr>
          <w:b/>
          <w:bCs/>
        </w:rPr>
      </w:r>
    </w:p>
    <w:p>
      <w:pPr>
        <w:pStyle w:val="NormalWeb"/>
        <w:spacing w:lineRule="auto" w:line="256" w:beforeAutospacing="0" w:before="0" w:afterAutospacing="0" w:after="160"/>
        <w:jc w:val="both"/>
        <w:rPr>
          <w:b/>
          <w:bCs/>
        </w:rPr>
      </w:pPr>
      <w:r>
        <w:rPr>
          <w:b/>
          <w:bCs/>
        </w:rPr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01"/>
    <w:family w:val="roman"/>
    <w:pitch w:val="variable"/>
  </w:font>
  <w:font w:name="Calibri">
    <w:charset w:val="01"/>
    <w:family w:val="roman"/>
    <w:pitch w:val="variable"/>
  </w:font>
  <w:font w:name="Segoe UI">
    <w:charset w:val="01"/>
    <w:family w:val="swiss"/>
    <w:pitch w:val="variable"/>
  </w:font>
  <w:font w:name="Arial"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3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nhideWhenUsed/>
    <w:rsid w:val="00af78f7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481b1a"/>
    <w:rPr>
      <w:sz w:val="16"/>
      <w:szCs w:val="16"/>
    </w:rPr>
  </w:style>
  <w:style w:type="character" w:styleId="Style14" w:customStyle="1">
    <w:name w:val="Текст примечания Знак"/>
    <w:basedOn w:val="DefaultParagraphFont"/>
    <w:uiPriority w:val="99"/>
    <w:semiHidden/>
    <w:qFormat/>
    <w:rsid w:val="00481b1a"/>
    <w:rPr>
      <w:sz w:val="20"/>
      <w:szCs w:val="20"/>
    </w:rPr>
  </w:style>
  <w:style w:type="character" w:styleId="Style15" w:customStyle="1">
    <w:name w:val="Тема примечания Знак"/>
    <w:basedOn w:val="Style14"/>
    <w:link w:val="annotationsubject"/>
    <w:uiPriority w:val="99"/>
    <w:semiHidden/>
    <w:qFormat/>
    <w:rsid w:val="00481b1a"/>
    <w:rPr>
      <w:b/>
      <w:bCs/>
      <w:sz w:val="20"/>
      <w:szCs w:val="20"/>
    </w:rPr>
  </w:style>
  <w:style w:type="character" w:styleId="Style16" w:customStyle="1">
    <w:name w:val="Текст выноски Знак"/>
    <w:basedOn w:val="DefaultParagraphFont"/>
    <w:link w:val="BalloonText"/>
    <w:uiPriority w:val="99"/>
    <w:semiHidden/>
    <w:qFormat/>
    <w:rsid w:val="00481b1a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b43911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c45a02"/>
    <w:rPr>
      <w:color w:themeColor="followedHyperlink" w:val="954F72"/>
      <w:u w:val="single"/>
    </w:rPr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Arial" w:hAnsi="Arial" w:eastAsia="Tahoma" w:cs="Noto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Noto Sans"/>
    </w:rPr>
  </w:style>
  <w:style w:type="paragraph" w:styleId="NormalWeb">
    <w:name w:val="Normal (Web)"/>
    <w:basedOn w:val="Normal"/>
    <w:uiPriority w:val="99"/>
    <w:unhideWhenUsed/>
    <w:qFormat/>
    <w:rsid w:val="00b97737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CommentText">
    <w:name w:val="annotation text"/>
    <w:basedOn w:val="Normal"/>
    <w:link w:val="Style14"/>
    <w:uiPriority w:val="99"/>
    <w:semiHidden/>
    <w:unhideWhenUsed/>
    <w:rsid w:val="00481b1a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CommentText"/>
    <w:next w:val="CommentText"/>
    <w:link w:val="Style15"/>
    <w:uiPriority w:val="99"/>
    <w:semiHidden/>
    <w:unhideWhenUsed/>
    <w:qFormat/>
    <w:rsid w:val="00481b1a"/>
    <w:pPr/>
    <w:rPr>
      <w:b/>
      <w:bCs/>
    </w:rPr>
  </w:style>
  <w:style w:type="paragraph" w:styleId="BalloonText">
    <w:name w:val="Balloon Text"/>
    <w:basedOn w:val="Normal"/>
    <w:link w:val="Style16"/>
    <w:uiPriority w:val="99"/>
    <w:semiHidden/>
    <w:unhideWhenUsed/>
    <w:qFormat/>
    <w:rsid w:val="00481b1a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Default" w:customStyle="1">
    <w:name w:val="Default"/>
    <w:qFormat/>
    <w:rsid w:val="00025293"/>
    <w:pPr>
      <w:widowControl/>
      <w:bidi w:val="0"/>
      <w:spacing w:lineRule="auto" w:line="240" w:before="0" w:after="0"/>
      <w:jc w:val="left"/>
    </w:pPr>
    <w:rPr>
      <w:rFonts w:ascii="Arial" w:hAnsi="Arial" w:cs="Arial" w:eastAsia="Calibri"/>
      <w:color w:val="000000"/>
      <w:kern w:val="0"/>
      <w:sz w:val="24"/>
      <w:szCs w:val="24"/>
      <w:lang w:val="ru-RU" w:eastAsia="en-US" w:bidi="ar-SA"/>
    </w:rPr>
  </w:style>
  <w:style w:type="numbering" w:styleId="Style19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s://podpiska.pochta.ru/collection/new_knowledge" TargetMode="External"/><Relationship Id="rId4" Type="http://schemas.openxmlformats.org/officeDocument/2006/relationships/hyperlink" Target="https://podpiska.pochta.ru/derevo-dobra/region" TargetMode="External"/><Relationship Id="rId5" Type="http://schemas.openxmlformats.org/officeDocument/2006/relationships/hyperlink" Target="mailto:Ovdina-A@russianpost.ru" TargetMode="Externa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LibreOffice/24.8.5.2$Linux_X86_64 LibreOffice_project/480$Build-2</Application>
  <AppVersion>15.0000</AppVersion>
  <Pages>2</Pages>
  <Words>285</Words>
  <Characters>1817</Characters>
  <CharactersWithSpaces>2184</CharactersWithSpaces>
  <Paragraphs>16</Paragraphs>
  <Company>АО "Почта России"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2026-09-14T08:22:00Z</dcterms:created>
  <dc:creator>Воробьева Анна Юрьевна</dc:creator>
  <dc:description/>
  <dc:language>ru-RU</dc:language>
  <cp:lastModifiedBy/>
  <dcterms:modified xsi:type="dcterms:W3CDTF">2026-09-15T08:12:34Z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