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32" w:type="dxa"/>
        <w:jc w:val="left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495"/>
        <w:gridCol w:w="236"/>
      </w:tblGrid>
      <w:tr>
        <w:trPr>
          <w:trHeight w:val="1719" w:hRule="atLeast"/>
        </w:trPr>
        <w:tc>
          <w:tcPr>
            <w:tcW w:w="10495" w:type="dxa"/>
            <w:tcBorders/>
          </w:tcPr>
          <w:p>
            <w:pPr>
              <w:pStyle w:val="Normal"/>
              <w:rPr>
                <w:color w:val="1F497D"/>
              </w:rPr>
            </w:pPr>
            <w:r>
              <w:rPr>
                <w:color w:val="1F497D"/>
              </w:rPr>
            </w:r>
          </w:p>
          <w:tbl>
            <w:tblPr>
              <w:tblW w:w="957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7053"/>
              <w:gridCol w:w="2517"/>
            </w:tblGrid>
            <w:tr>
              <w:trPr>
                <w:trHeight w:val="1719" w:hRule="atLeast"/>
              </w:trPr>
              <w:tc>
                <w:tcPr>
                  <w:tcW w:w="7053" w:type="dxa"/>
                  <w:tcBorders/>
                </w:tcPr>
                <w:p>
                  <w:pPr>
                    <w:pStyle w:val="Normal"/>
                    <w:jc w:val="both"/>
                    <w:rPr>
                      <w:rFonts w:ascii="Arial" w:hAnsi="Arial" w:eastAsia="Arial Unicode MS" w:cs="Arial Unicode MS"/>
                      <w:b/>
                      <w:bCs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</w:pPr>
                  <w:r>
                    <w:rPr>
                      <w:rFonts w:eastAsia="Arial Unicode MS" w:cs="Arial Unicode MS" w:ascii="Arial" w:hAnsi="Arial"/>
                      <w:b/>
                      <w:bCs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</w:r>
                </w:p>
                <w:p>
                  <w:pPr>
                    <w:pStyle w:val="Normal"/>
                    <w:jc w:val="both"/>
                    <w:rPr>
                      <w:rFonts w:ascii="Arial" w:hAnsi="Arial" w:eastAsia="Arial Unicode MS" w:cs="Arial Unicode MS"/>
                      <w:b/>
                      <w:bCs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</w:pPr>
                  <w:r>
                    <w:rPr>
                      <w:rFonts w:eastAsia="Arial Unicode MS" w:cs="Arial Unicode MS" w:ascii="Arial" w:hAnsi="Arial"/>
                      <w:b/>
                      <w:bCs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  <w:t xml:space="preserve">ПРЕСС-РЕЛИЗ                                                                            </w:t>
                  </w:r>
                </w:p>
                <w:p>
                  <w:pPr>
                    <w:pStyle w:val="Normal"/>
                    <w:spacing w:before="0" w:after="160"/>
                    <w:jc w:val="both"/>
                    <w:rPr>
                      <w:rFonts w:ascii="Arial" w:hAnsi="Arial" w:eastAsia="Arial Unicode MS" w:cs="Arial Unicode MS"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</w:pPr>
                  <w:r>
                    <w:rPr>
                      <w:rFonts w:eastAsia="Arial Unicode MS" w:cs="Arial Unicode MS" w:ascii="Arial" w:hAnsi="Arial"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  <w:t>31</w:t>
                  </w:r>
                  <w:r>
                    <w:rPr>
                      <w:rFonts w:eastAsia="Arial Unicode MS" w:cs="Arial Unicode MS" w:ascii="Arial" w:hAnsi="Arial"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  <w:t xml:space="preserve"> августа 2026 </w:t>
                  </w:r>
                  <w:r>
                    <mc:AlternateContent>
                      <mc:Choice Requires="wps">
                        <w:drawing>
                          <wp:anchor behindDoc="0" distT="0" distB="0" distL="0" distR="0" simplePos="0" locked="0" layoutInCell="1" allowOverlap="1" relativeHeight="3" wp14:anchorId="5F83E55F">
                            <wp:simplePos x="0" y="0"/>
                            <wp:positionH relativeFrom="column">
                              <wp:posOffset>-1905</wp:posOffset>
                            </wp:positionH>
                            <wp:positionV relativeFrom="paragraph">
                              <wp:posOffset>251460</wp:posOffset>
                            </wp:positionV>
                            <wp:extent cx="4506595" cy="635"/>
                            <wp:effectExtent l="12700" t="12700" r="13335" b="12700"/>
                            <wp:wrapNone/>
                            <wp:docPr id="1" name="Прямая соединительная линия 3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flipH="1">
                                      <a:off x="0" y="0"/>
                                      <a:ext cx="4506480" cy="720"/>
                                    </a:xfrm>
                                    <a:prstGeom prst="line">
                                      <a:avLst/>
                                    </a:prstGeom>
                                    <a:ln w="25400">
                                      <a:solidFill>
                                        <a:srgbClr val="0000e6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shape_0" from="-0.15pt,19.8pt" to="354.65pt,19.8pt" ID="Прямая соединительная линия 3" stroked="t" o:allowincell="f" style="position:absolute;flip:x" wp14:anchorId="5F83E55F">
                            <v:stroke color="#0000e6" weight="25560" joinstyle="round" endcap="flat"/>
                            <v:fill o:detectmouseclick="t" on="false"/>
                            <w10:wrap type="none"/>
                          </v:line>
                        </w:pict>
                      </mc:Fallback>
                    </mc:AlternateContent>
                  </w:r>
                  <w:r>
                    <w:rPr>
                      <w:rFonts w:eastAsia="Arial Unicode MS" w:cs="Arial Unicode MS" w:ascii="Arial" w:hAnsi="Arial"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517" w:type="dxa"/>
                  <w:tcBorders/>
                </w:tcPr>
                <w:p>
                  <w:pPr>
                    <w:pStyle w:val="Normal"/>
                    <w:spacing w:lineRule="auto" w:line="288" w:before="120" w:after="120"/>
                    <w:jc w:val="both"/>
                    <w:rPr>
                      <w:rFonts w:eastAsia="Times New Roman"/>
                      <w:b/>
                      <w:color w:val="0918DD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olor w:val="0918DD"/>
                      <w:sz w:val="24"/>
                      <w:szCs w:val="24"/>
                    </w:rPr>
                    <w:t xml:space="preserve">              </w:t>
                  </w:r>
                  <w:r>
                    <w:rPr/>
                    <w:drawing>
                      <wp:inline distT="0" distB="0" distL="0" distR="0">
                        <wp:extent cx="901700" cy="901700"/>
                        <wp:effectExtent l="0" t="0" r="0" b="0"/>
                        <wp:docPr id="2" name="Рисунок 4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4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700" cy="9017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Развитие коммерческих направлений поддерживает рост выручки 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Почты России </w:t>
            </w:r>
          </w:p>
          <w:p>
            <w:pPr>
              <w:pStyle w:val="Normal"/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Почта России подвела итоги работы в первом полугодии 2026 г. по международным стандартам финансовой отчетности (МСФО). Выручка компании составила 108,9 млрд руб., увеличившись на 1,6% год к году. Скорректированный показатель операционной прибыли (EBITDA) вырос на 9,5 млрд руб. и достиг положительного уровня в 2,5 млрд. </w:t>
            </w:r>
          </w:p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Ускоренное развитие современных коммерческих направлений и расширение форматов взаимодействия с ключевыми бизнес-партнёрами обеспечило в первом полугодии 2026 г. рост выручки от грузоперевозок на 44% год к году. Благодаря масштабированию пилотных проектов по диверсификации услуг для российских маркетплейсов выручка от услуг хранения и фулфилмента выросла на 148%, а от выдачи ECOM-заказов — на 235%. </w:t>
            </w:r>
          </w:p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Emphasis"/>
              </w:rPr>
              <w:t>«</w:t>
            </w:r>
            <w:r>
              <w:rPr>
                <w:rStyle w:val="Emphasis"/>
                <w:color w:val="000000"/>
                <w:sz w:val="24"/>
                <w:szCs w:val="24"/>
                <w:shd w:fill="FFFFFF" w:val="clear"/>
              </w:rPr>
              <w:t>Усиление коммерческих направлений позволяет Почте самостоятельно субсидировать социальные услуги, добиваясь сохранения положительного уровня операционной прибыли. Для нас остаётся приоритетной задачей обеспечивать равный доступ к услугам Почты всех жителей страны</w:t>
            </w:r>
            <w:r>
              <w:rPr>
                <w:rStyle w:val="Emphasis"/>
              </w:rPr>
              <w:t>», —</w:t>
            </w:r>
            <w:r>
              <w:rPr>
                <w:color w:val="000000"/>
                <w:sz w:val="24"/>
                <w:szCs w:val="24"/>
                <w:shd w:fill="FFFFFF" w:val="clear"/>
              </w:rPr>
              <w:t xml:space="preserve"> прокомментировал </w:t>
            </w:r>
            <w:r>
              <w:rPr>
                <w:rStyle w:val="Strong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генеральный директор Почты России </w:t>
            </w:r>
            <w:r>
              <w:rPr>
                <w:rStyle w:val="Strong"/>
                <w:bCs w:val="false"/>
                <w:color w:val="000000"/>
                <w:sz w:val="24"/>
                <w:szCs w:val="24"/>
                <w:shd w:fill="FFFFFF" w:val="clear"/>
              </w:rPr>
              <w:t>Михаил Волков</w:t>
            </w:r>
            <w:r>
              <w:rPr>
                <w:color w:val="000000"/>
                <w:sz w:val="24"/>
                <w:szCs w:val="24"/>
                <w:shd w:fill="FFFFFF" w:val="clear"/>
              </w:rPr>
              <w:t xml:space="preserve">. </w:t>
            </w:r>
          </w:p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Почта активно сотрудничает с селлерами, уже более 60% всех отправлений приходится на малых и средних предпринимателей. Для нужд бизнеса доступно несколько тысяч объектов микрофулфилмента, Почта России планирует кратно увеличить их количество. Важной точкой роста также стало развитие электронной почтовой системы: выручка от доставки корреспонденции в электронном и гибридном формате выросла на 59% — до 14,9 млрд руб. </w:t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 2023 г. Почта проводит программу повышения операционной эффективности. Благодаря ей операционные расходы за первое полугодие 2026 г. снизились на 6,8 млрд руб. — на 5,5% год к году. Мероприятия по повышению утилизации и оптимизации имущественного комплекса обеспечили дополнительный доход от реализации на открытых торгах непрофильных активов на общую сумму 1,9 млрд руб.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</w:t>
            </w:r>
          </w:p>
          <w:p>
            <w:pPr>
              <w:pStyle w:val="Normal"/>
              <w:jc w:val="both"/>
              <w:rPr>
                <w:rFonts w:eastAsia="Times New Roman"/>
                <w:b/>
                <w:i/>
                <w:i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</w:r>
            <w:bookmarkStart w:id="0" w:name="_Hlk219109036"/>
            <w:bookmarkStart w:id="1" w:name="_Hlk219109036"/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Справочно:</w:t>
            </w:r>
          </w:p>
          <w:p>
            <w:pPr>
              <w:pStyle w:val="Normal"/>
              <w:spacing w:lineRule="auto" w:line="288" w:before="120" w:after="120"/>
              <w:jc w:val="both"/>
              <w:rPr>
                <w:rFonts w:eastAsia="Calibri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АО «Почта России»</w:t>
            </w:r>
            <w:r>
              <w:rPr>
                <w:rFonts w:eastAsia="Calibri"/>
                <w:i/>
                <w:iCs/>
                <w:color w:val="000000"/>
                <w:sz w:val="20"/>
                <w:szCs w:val="20"/>
              </w:rPr>
      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      </w:r>
          </w:p>
          <w:p>
            <w:pPr>
              <w:pStyle w:val="Normal"/>
              <w:spacing w:lineRule="auto" w:line="288" w:before="120" w:after="120"/>
              <w:jc w:val="both"/>
              <w:rPr>
                <w:rFonts w:eastAsia="Calibri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</w:rPr>
              <w:t>Ежегодно Почта России принимает более 1 млрд бумажных отправлений и обрабатывает более 90 млн посылок.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i/>
                <w:iCs/>
                <w:color w:val="000000"/>
                <w:sz w:val="20"/>
                <w:szCs w:val="20"/>
              </w:rPr>
              <w:t>Компания помогает переводить юридически значимую переписку в цифровой формат — в 2025 г. Почта доставила порядка 380 млн писем в электронном и гибридном формате.</w:t>
            </w:r>
            <w:bookmarkEnd w:id="1"/>
          </w:p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Пресс-служба АО «Почта России»</w:t>
            </w:r>
          </w:p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Александра Овдина</w:t>
            </w:r>
          </w:p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Раб. +7 (391) 219-17-60 доб. 02097</w:t>
            </w:r>
          </w:p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Тел. +7 (908) 213-11-10</w:t>
            </w:r>
          </w:p>
          <w:p>
            <w:pPr>
              <w:pStyle w:val="Normal"/>
              <w:spacing w:lineRule="auto" w:line="360" w:before="0" w:after="0"/>
              <w:jc w:val="both"/>
              <w:rPr/>
            </w:pPr>
            <w:hyperlink r:id="rId3">
              <w:bookmarkStart w:id="2" w:name="_Hlk219109036_Копия_1"/>
              <w:bookmarkStart w:id="3" w:name="_Hlk219109036_Копия_1_Копия_1_Копия_1"/>
              <w:bookmarkStart w:id="4" w:name="_GoBack_Копия_1_Копия_1_Копия_1"/>
              <w:bookmarkStart w:id="5" w:name="_GoBack_Копия_1_Копия_1_Копия_1_Копия_1"/>
              <w:bookmarkStart w:id="6" w:name="_Hlk219109036_Копия_1_Копия_1_Копия_1"/>
              <w:bookmarkStart w:id="7" w:name="_GoBack_Копия_1"/>
              <w:bookmarkStart w:id="8" w:name="_Hlk219109036_Копия_1_Копия_1"/>
              <w:bookmarkStart w:id="9" w:name="_GoBack_Копия_1_Копия_1"/>
              <w:bookmarkStart w:id="10" w:name="_Hlk219109036_Копия_1"/>
              <w:bookmarkStart w:id="11" w:name="_GoBack_Копия_1"/>
              <w:bookmarkStart w:id="12" w:name="_GoBack"/>
              <w:bookmarkEnd w:id="2"/>
              <w:bookmarkEnd w:id="3"/>
              <w:bookmarkEnd w:id="4"/>
              <w:bookmarkEnd w:id="5"/>
              <w:bookmarkEnd w:id="6"/>
              <w:bookmarkEnd w:id="7"/>
              <w:bookmarkEnd w:id="8"/>
              <w:bookmarkEnd w:id="9"/>
              <w:bookmarkEnd w:id="10"/>
              <w:bookmarkEnd w:id="11"/>
              <w:bookmarkEnd w:id="12"/>
              <w:r>
                <w:rPr>
                  <w:rStyle w:val="Hyperlink"/>
                  <w:rFonts w:eastAsia="Times New Roman" w:cs="Times New Roman"/>
                  <w:b/>
                  <w:bCs/>
                  <w:i w:val="false"/>
                  <w:iCs w:val="false"/>
                  <w:color w:val="0000FF"/>
                  <w:sz w:val="24"/>
                  <w:szCs w:val="24"/>
                  <w:u w:val="single"/>
                  <w:shd w:fill="auto" w:val="clear"/>
                  <w:lang w:val="ru-RU" w:eastAsia="ru-RU"/>
                </w:rPr>
                <w:t>Ovdina-A@russianpost.ru</w:t>
              </w:r>
            </w:hyperlink>
          </w:p>
        </w:tc>
        <w:tc>
          <w:tcPr>
            <w:tcW w:w="236" w:type="dxa"/>
            <w:tcBorders/>
          </w:tcPr>
          <w:p>
            <w:pPr>
              <w:pStyle w:val="Normal"/>
              <w:spacing w:lineRule="auto" w:line="288" w:before="120" w:after="120"/>
              <w:jc w:val="both"/>
              <w:rPr>
                <w:rFonts w:eastAsia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/>
                <w:b/>
                <w:color w:val="0918DD"/>
                <w:sz w:val="24"/>
                <w:szCs w:val="24"/>
              </w:rPr>
              <w:t xml:space="preserve">              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Times New Roman" w:hAnsi="Times New Roman" w:eastAsia="Calibri" w:cs="Times New Roman" w:eastAsiaTheme="minorHAnsi"/>
      <w:color w:val="auto"/>
      <w:kern w:val="2"/>
      <w:sz w:val="28"/>
      <w:szCs w:val="28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025b61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25b61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025b61"/>
    <w:pPr>
      <w:keepNext w:val="true"/>
      <w:keepLines/>
      <w:spacing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25b61"/>
    <w:pPr>
      <w:keepNext w:val="true"/>
      <w:keepLines/>
      <w:spacing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025b61"/>
    <w:pPr>
      <w:keepNext w:val="true"/>
      <w:keepLines/>
      <w:spacing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25b61"/>
    <w:pPr>
      <w:keepNext w:val="true"/>
      <w:keepLines/>
      <w:spacing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025b61"/>
    <w:pPr>
      <w:keepNext w:val="true"/>
      <w:keepLines/>
      <w:spacing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025b61"/>
    <w:pPr>
      <w:keepNext w:val="true"/>
      <w:keepLines/>
      <w:spacing w:before="0" w:after="0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025b61"/>
    <w:pPr>
      <w:keepNext w:val="true"/>
      <w:keepLines/>
      <w:spacing w:before="0" w:after="0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025b6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25b6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color w:themeColor="accent1" w:themeShade="bf" w:val="2F5496"/>
    </w:rPr>
  </w:style>
  <w:style w:type="character" w:styleId="4" w:customStyle="1">
    <w:name w:val="Заголовок 4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025b61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025b61"/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025b61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25b61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025b61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025b61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6d2d90"/>
    <w:rPr>
      <w:color w:themeColor="hyperlink" w:val="0563C1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6d2d90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6d2d90"/>
    <w:rPr>
      <w:b/>
      <w:bCs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5b19b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c3c5c"/>
    <w:rPr>
      <w:i/>
      <w:iCs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Normal"/>
    <w:link w:val="Style5"/>
    <w:uiPriority w:val="10"/>
    <w:qFormat/>
    <w:rsid w:val="00025b61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025b61"/>
    <w:pPr/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</w:rPr>
  </w:style>
  <w:style w:type="paragraph" w:styleId="Quote">
    <w:name w:val="Quote"/>
    <w:basedOn w:val="Normal"/>
    <w:next w:val="Normal"/>
    <w:link w:val="21"/>
    <w:uiPriority w:val="29"/>
    <w:qFormat/>
    <w:rsid w:val="00025b61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025b61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025b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NoSpacing">
    <w:name w:val="No Spacing"/>
    <w:uiPriority w:val="1"/>
    <w:qFormat/>
    <w:rsid w:val="006d2d90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2"/>
      <w:sz w:val="24"/>
      <w:szCs w:val="24"/>
      <w:lang w:eastAsia="zh-CN" w:val="ru-RU" w:bidi="ar-SA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5b19b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948B9-EF19-402A-B223-835C1616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LibreOffice/24.8.5.2$Linux_X86_64 LibreOffice_project/480$Build-2</Application>
  <AppVersion>15.0000</AppVersion>
  <Pages>2</Pages>
  <Words>358</Words>
  <Characters>2400</Characters>
  <CharactersWithSpaces>2862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2026-08-27T15:54:00Z</dcterms:created>
  <dc:creator>Григорий Назаров</dc:creator>
  <dc:description/>
  <dc:language>ru-RU</dc:language>
  <cp:lastModifiedBy/>
  <dcterms:modified xsi:type="dcterms:W3CDTF">2026-08-31T08:57:56Z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