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53"/>
        <w:gridCol w:w="2517"/>
      </w:tblGrid>
      <w:tr>
        <w:trPr>
          <w:trHeight w:val="1719" w:hRule="atLeast"/>
        </w:trPr>
        <w:tc>
          <w:tcPr>
            <w:tcW w:w="7053" w:type="dxa"/>
            <w:tcBorders/>
          </w:tcPr>
          <w:p>
            <w:pPr>
              <w:pStyle w:val="Normal"/>
              <w:jc w:val="both"/>
              <w:rPr>
                <w:rFonts w:ascii="Times New Roman" w:hAnsi="Times New Roman" w:eastAsia="Arial Unicode MS" w:cs="Times New Roman"/>
                <w:b/>
                <w:bCs/>
                <w:color w:val="0000E6"/>
                <w:sz w:val="24"/>
                <w:szCs w:val="24"/>
                <w:u w:val="none" w:color="0B308C"/>
                <w:lang w:val="en-US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color w:val="0000E6"/>
                <w:sz w:val="24"/>
                <w:szCs w:val="24"/>
                <w:u w:val="none" w:color="0B308C"/>
                <w:lang w:val="en-US"/>
              </w:rPr>
            </w:r>
          </w:p>
          <w:p>
            <w:pPr>
              <w:pStyle w:val="Normal"/>
              <w:jc w:val="both"/>
              <w:rPr>
                <w:rFonts w:ascii="Times New Roman" w:hAnsi="Times New Roman" w:eastAsia="Arial Unicode MS" w:cs="Times New Roman"/>
                <w:b/>
                <w:bCs/>
                <w:color w:val="0000E6"/>
                <w:sz w:val="24"/>
                <w:szCs w:val="24"/>
                <w:u w:val="none" w:color="0B308C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color w:val="0000E6"/>
                <w:sz w:val="24"/>
                <w:szCs w:val="24"/>
                <w:u w:val="none" w:color="0B308C"/>
              </w:rPr>
            </w:r>
          </w:p>
          <w:p>
            <w:pPr>
              <w:pStyle w:val="Normal"/>
              <w:jc w:val="both"/>
              <w:rPr>
                <w:rFonts w:ascii="Times New Roman" w:hAnsi="Times New Roman" w:eastAsia="Arial Unicode MS" w:cs="Times New Roman"/>
                <w:b/>
                <w:bCs/>
                <w:color w:val="0000E6"/>
                <w:sz w:val="24"/>
                <w:szCs w:val="24"/>
                <w:u w:val="none" w:color="0B308C"/>
              </w:rPr>
            </w:pPr>
            <w:r>
              <w:rPr>
                <w:rFonts w:eastAsia="Arial Unicode MS" w:cs="Times New Roman" w:ascii="Times New Roman" w:hAnsi="Times New Roman"/>
                <w:b/>
                <w:bCs/>
                <w:color w:val="0000E6"/>
                <w:sz w:val="24"/>
                <w:szCs w:val="24"/>
                <w:u w:val="none" w:color="0B308C"/>
              </w:rPr>
              <w:t xml:space="preserve">ПРЕСС-РЕЛИЗ                                                                            </w:t>
            </w:r>
          </w:p>
          <w:p>
            <w:pPr>
              <w:pStyle w:val="Normal"/>
              <w:spacing w:before="0" w:after="160"/>
              <w:jc w:val="both"/>
              <w:rPr>
                <w:rFonts w:ascii="Times New Roman" w:hAnsi="Times New Roman" w:eastAsia="Arial Unicode MS" w:cs="Times New Roman"/>
                <w:color w:val="0000E6"/>
                <w:sz w:val="24"/>
                <w:szCs w:val="24"/>
                <w:u w:val="none" w:color="0B308C"/>
              </w:rPr>
            </w:pPr>
            <w:r>
              <w:rPr>
                <w:rFonts w:eastAsia="Arial Unicode MS" w:cs="Times New Roman" w:ascii="Times New Roman" w:hAnsi="Times New Roman"/>
                <w:color w:val="0000E6"/>
                <w:sz w:val="24"/>
                <w:szCs w:val="24"/>
                <w:u w:val="none" w:color="0B308C"/>
              </w:rPr>
              <w:t xml:space="preserve">3 августа 2026 </w:t>
            </w: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3" wp14:anchorId="7D568E6D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251460</wp:posOffset>
                      </wp:positionV>
                      <wp:extent cx="4506595" cy="635"/>
                      <wp:effectExtent l="12700" t="12700" r="13335" b="12700"/>
                      <wp:wrapNone/>
                      <wp:docPr id="1" name="Прямая соединительная линия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506480" cy="72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rgbClr val="0000e6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15pt,19.8pt" to="354.65pt,19.8pt" ID="Прямая соединительная линия 3" stroked="t" o:allowincell="f" style="position:absolute;flip:x" wp14:anchorId="7D568E6D">
                      <v:stroke color="#0000e6" weight="255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>
                <w:rFonts w:eastAsia="Arial Unicode MS" w:cs="Times New Roman" w:ascii="Times New Roman" w:hAnsi="Times New Roman"/>
                <w:color w:val="0000E6"/>
                <w:sz w:val="24"/>
                <w:szCs w:val="24"/>
                <w:u w:val="none" w:color="0B308C"/>
              </w:rPr>
              <w:t xml:space="preserve"> </w:t>
            </w:r>
          </w:p>
        </w:tc>
        <w:tc>
          <w:tcPr>
            <w:tcW w:w="2517" w:type="dxa"/>
            <w:tcBorders/>
          </w:tcPr>
          <w:p>
            <w:pPr>
              <w:pStyle w:val="Normal"/>
              <w:spacing w:lineRule="auto" w:line="288" w:before="120" w:after="120"/>
              <w:jc w:val="both"/>
              <w:rPr>
                <w:rFonts w:ascii="Times New Roman" w:hAnsi="Times New Roman" w:eastAsia="Times New Roman" w:cs="Times New Roman"/>
                <w:b/>
                <w:color w:val="0918DD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918DD"/>
                <w:sz w:val="24"/>
                <w:szCs w:val="24"/>
              </w:rPr>
              <w:t xml:space="preserve">              </w:t>
            </w:r>
            <w:r>
              <w:rPr/>
              <w:drawing>
                <wp:inline distT="0" distB="0" distL="0" distR="0">
                  <wp:extent cx="901700" cy="901700"/>
                  <wp:effectExtent l="0" t="0" r="0" b="0"/>
                  <wp:docPr id="2" name="Рисунок 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700" cy="901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Web"/>
        <w:spacing w:lineRule="auto" w:line="256" w:beforeAutospacing="0" w:before="0" w:afterAutospacing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Web"/>
        <w:spacing w:lineRule="auto" w:line="256" w:beforeAutospacing="0" w:before="0" w:afterAutospacing="0" w:after="160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Солнечные летние скидки: подписка на детские издания на 20% дешевле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С 3 по 16 августа Почта России совместно с издателями проводит летнюю акцию и предлагает оформить подписку со скидкой до 20% на избранные детские издания.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Почта России вместе с издательскими домами снижает стоимость подписки на избранную детскую периодику. Воспользоваться предложением можно во всех почтовых отделениях, на </w:t>
      </w:r>
      <w:hyperlink r:id="rId3">
        <w:r>
          <w:rPr>
            <w:rStyle w:val="Hyperlink"/>
            <w:rFonts w:cs="Times New Roman" w:ascii="Times New Roman" w:hAnsi="Times New Roman"/>
            <w:sz w:val="24"/>
            <w:szCs w:val="24"/>
          </w:rPr>
          <w:t>сайте</w:t>
        </w:r>
      </w:hyperlink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, в мобильном приложении Почты России, а также у почтальонов, которые оформляют подписку при помощи мобильных почтово-кассовых терминалов.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У клиентов, которые выписывают периодику онлайн, также есть возможность выбрать нужное издание по названию или подписному индексу, теме, алфавиту, интересам, а оформление займёт всего несколько минут. Клиенты Почты также могут оформить благотворительную подписку на журналы и газеты детям из школ-интернатов и детских домов, оставшихся без попечения родителей или проходящих через трудные жизненные обстоятельства. Для этого в почтовых отделениях или на странице акции </w:t>
      </w:r>
      <w:hyperlink r:id="rId4">
        <w:r>
          <w:rPr>
            <w:rStyle w:val="Hyperlink"/>
            <w:rFonts w:cs="Times New Roman" w:ascii="Times New Roman" w:hAnsi="Times New Roman"/>
            <w:sz w:val="24"/>
            <w:szCs w:val="24"/>
          </w:rPr>
          <w:t>«Дерево добра»</w:t>
        </w:r>
      </w:hyperlink>
      <w:r>
        <w:rPr>
          <w:rStyle w:val="Hyperlink"/>
          <w:u w:val="none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необходимо выбрать регион и социальное учреждение — детский дом или приют, в адрес которого будет оформлена подписка.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/>
          <w:kern w:val="2"/>
          <w:sz w:val="20"/>
          <w:szCs w:val="20"/>
          <w14:ligatures w14:val="standardContextual"/>
        </w:rPr>
        <w:t>Справочно:</w:t>
      </w:r>
    </w:p>
    <w:p>
      <w:pPr>
        <w:pStyle w:val="Normal"/>
        <w:spacing w:lineRule="auto" w:line="288" w:before="120" w:after="120"/>
        <w:jc w:val="both"/>
        <w:rPr>
          <w:rFonts w:ascii="Times New Roman" w:hAnsi="Times New Roman" w:eastAsia="Calibri" w:cs="Times New Roman"/>
          <w:i/>
          <w:i/>
          <w:iCs/>
          <w:color w:val="000000"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i/>
          <w:iCs/>
          <w:color w:val="000000"/>
          <w:sz w:val="20"/>
          <w:szCs w:val="20"/>
        </w:rPr>
        <w:t>АО «Почта России»</w:t>
      </w:r>
      <w:r>
        <w:rPr>
          <w:rFonts w:eastAsia="Calibri" w:cs="Times New Roman" w:ascii="Times New Roman" w:hAnsi="Times New Roman"/>
          <w:i/>
          <w:iCs/>
          <w:color w:val="000000"/>
          <w:sz w:val="20"/>
          <w:szCs w:val="20"/>
        </w:rPr>
        <w:t xml:space="preserve"> — крупнейший федеральный почтовый и логистический оператор страны, входит в перечень стратегических предприятий Российской Федерации. Седьмая крупнейшая компания в мире по количеству отделений обслуживания клиентов — свыше 38 000 точек, порядка 66% из которых находятся в малых населенных пунктах. Среднемесячная протяженность логистических маршрутов Почты составляет 64 млн километров. </w:t>
      </w:r>
    </w:p>
    <w:p>
      <w:pPr>
        <w:pStyle w:val="Normal"/>
        <w:spacing w:lineRule="auto" w:line="288" w:before="120" w:after="120"/>
        <w:jc w:val="both"/>
        <w:rPr>
          <w:rFonts w:ascii="Times New Roman" w:hAnsi="Times New Roman" w:eastAsia="Calibri" w:cs="Times New Roman"/>
          <w:i/>
          <w:i/>
          <w:iCs/>
          <w:color w:val="000000"/>
          <w:sz w:val="20"/>
          <w:szCs w:val="20"/>
        </w:rPr>
      </w:pPr>
      <w:r>
        <w:rPr>
          <w:rFonts w:eastAsia="Calibri" w:cs="Times New Roman" w:ascii="Times New Roman" w:hAnsi="Times New Roman"/>
          <w:i/>
          <w:iCs/>
          <w:color w:val="000000"/>
          <w:sz w:val="20"/>
          <w:szCs w:val="20"/>
        </w:rPr>
        <w:t>Ежегодно Почта России принимает более 1 млрд бумажных отправлений и обрабатывает более 90 млн посылок.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Calibri" w:cs="Times New Roman" w:ascii="Times New Roman" w:hAnsi="Times New Roman"/>
          <w:i/>
          <w:iCs/>
          <w:color w:val="000000"/>
          <w:sz w:val="20"/>
          <w:szCs w:val="20"/>
        </w:rPr>
        <w:t>Компания помогает переводить юридически значимую переписку в цифровой формат — в 2025 г. Почта доставила порядка 380 млн писем в электронном и гибридном формате.</w:t>
      </w:r>
    </w:p>
    <w:p>
      <w:pPr>
        <w:pStyle w:val="Normal"/>
        <w:spacing w:lineRule="auto" w:line="288" w:before="120" w:after="120"/>
        <w:jc w:val="both"/>
        <w:rPr>
          <w:rFonts w:ascii="Times New Roman" w:hAnsi="Times New Roman" w:eastAsia="Calibri" w:cs="Times New Roman"/>
          <w:i/>
          <w:i/>
          <w:iCs/>
          <w:color w:val="000000"/>
          <w:sz w:val="20"/>
          <w:szCs w:val="20"/>
          <w:shd w:fill="FFFFFF" w:val="clear"/>
        </w:rPr>
      </w:pPr>
      <w:r>
        <w:rPr>
          <w:rFonts w:eastAsia="Calibri" w:cs="Times New Roman" w:ascii="Times New Roman" w:hAnsi="Times New Roman"/>
          <w:i/>
          <w:iCs/>
          <w:color w:val="000000"/>
          <w:sz w:val="20"/>
          <w:szCs w:val="20"/>
          <w:shd w:fill="FFFFFF" w:val="clear"/>
        </w:rPr>
        <w:t>Почтово-логистический оператор следит за сохранностью всех отправлений, включая онлайн-заказы. На октябрь 2025 г. этот показатель достигает 99,99%.</w:t>
      </w:r>
    </w:p>
    <w:p>
      <w:pPr>
        <w:pStyle w:val="Normal"/>
        <w:spacing w:lineRule="auto" w:line="288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Пресс-служба АО «Почта России»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Александра Овдина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b w:val="false"/>
          <w:bCs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Раб. +7 (391) 219-17-60 доб. 02097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Тел. +7 (908) 213-11-10</w:t>
      </w:r>
    </w:p>
    <w:p>
      <w:pPr>
        <w:pStyle w:val="Normal"/>
        <w:spacing w:lineRule="auto" w:line="360" w:before="0" w:after="0"/>
        <w:jc w:val="both"/>
        <w:rPr/>
      </w:pPr>
      <w:hyperlink r:id="rId5">
        <w:bookmarkStart w:id="1" w:name="_GoBack"/>
        <w:bookmarkStart w:id="2" w:name="_Hlk219109036"/>
        <w:bookmarkStart w:id="3" w:name="_GoBack_Копия_1_Копия_1"/>
        <w:bookmarkStart w:id="4" w:name="_Hlk219109036_Копия_1_Копия_1"/>
        <w:bookmarkStart w:id="5" w:name="_GoBack_Копия_1"/>
        <w:bookmarkStart w:id="6" w:name="_Hlk219109036_Копия_1_Копия_1_Копия_1"/>
        <w:bookmarkStart w:id="7" w:name="_GoBack_Копия_1_Копия_1_Копия_1_Копия_1"/>
        <w:bookmarkStart w:id="8" w:name="_GoBack_Копия_1_Копия_1_Копия_1"/>
        <w:bookmarkStart w:id="9" w:name="_Hlk219109036_Копия_1_Копия_1"/>
        <w:bookmarkStart w:id="10" w:name="_Hlk219109036_Копия_1"/>
        <w:bookmarkEnd w:id="1"/>
        <w:bookmarkEnd w:id="2"/>
        <w:bookmarkEnd w:id="3"/>
        <w:bookmarkEnd w:id="4"/>
        <w:bookmarkEnd w:id="5"/>
        <w:bookmarkEnd w:id="6"/>
        <w:bookmarkEnd w:id="7"/>
        <w:bookmarkEnd w:id="8"/>
        <w:bookmarkEnd w:id="9"/>
        <w:bookmarkEnd w:id="10"/>
        <w:r>
          <w:rPr>
            <w:rStyle w:val="Hyperlink"/>
            <w:rFonts w:eastAsia="Times New Roman" w:cs="Times New Roman" w:ascii="Times New Roman" w:hAnsi="Times New Roman"/>
            <w:b/>
            <w:bCs/>
            <w:i w:val="false"/>
            <w:iCs w:val="false"/>
            <w:color w:val="0000FF"/>
            <w:sz w:val="24"/>
            <w:szCs w:val="24"/>
            <w:u w:val="single"/>
            <w:shd w:fill="auto" w:val="clear"/>
            <w:lang w:val="ru-RU" w:eastAsia="ru-RU"/>
          </w:rPr>
          <w:t>Ovdina-A@russianpost.ru</w:t>
        </w:r>
      </w:hyperlink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swiss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nhideWhenUsed/>
    <w:rsid w:val="00af78f7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481b1a"/>
    <w:rPr>
      <w:sz w:val="16"/>
      <w:szCs w:val="16"/>
    </w:rPr>
  </w:style>
  <w:style w:type="character" w:styleId="Style14" w:customStyle="1">
    <w:name w:val="Текст примечания Знак"/>
    <w:basedOn w:val="DefaultParagraphFont"/>
    <w:uiPriority w:val="99"/>
    <w:semiHidden/>
    <w:qFormat/>
    <w:rsid w:val="00481b1a"/>
    <w:rPr>
      <w:sz w:val="20"/>
      <w:szCs w:val="20"/>
    </w:rPr>
  </w:style>
  <w:style w:type="character" w:styleId="Style15" w:customStyle="1">
    <w:name w:val="Тема примечания Знак"/>
    <w:basedOn w:val="Style14"/>
    <w:link w:val="annotationsubject"/>
    <w:uiPriority w:val="99"/>
    <w:semiHidden/>
    <w:qFormat/>
    <w:rsid w:val="00481b1a"/>
    <w:rPr>
      <w:b/>
      <w:bCs/>
      <w:sz w:val="20"/>
      <w:szCs w:val="20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481b1a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b43911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ba07ab"/>
    <w:rPr>
      <w:color w:themeColor="followedHyperlink" w:val="954F72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Noto Sans"/>
    </w:rPr>
  </w:style>
  <w:style w:type="paragraph" w:styleId="NormalWeb">
    <w:name w:val="Normal (Web)"/>
    <w:basedOn w:val="Normal"/>
    <w:uiPriority w:val="99"/>
    <w:unhideWhenUsed/>
    <w:qFormat/>
    <w:rsid w:val="00b97737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mmentText">
    <w:name w:val="annotation text"/>
    <w:basedOn w:val="Normal"/>
    <w:link w:val="Style14"/>
    <w:uiPriority w:val="99"/>
    <w:semiHidden/>
    <w:unhideWhenUsed/>
    <w:rsid w:val="00481b1a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5"/>
    <w:uiPriority w:val="99"/>
    <w:semiHidden/>
    <w:unhideWhenUsed/>
    <w:qFormat/>
    <w:rsid w:val="00481b1a"/>
    <w:pPr/>
    <w:rPr>
      <w:b/>
      <w:bCs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481b1a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Default" w:customStyle="1">
    <w:name w:val="Default"/>
    <w:qFormat/>
    <w:rsid w:val="00025293"/>
    <w:pPr>
      <w:widowControl/>
      <w:bidi w:val="0"/>
      <w:spacing w:lineRule="auto" w:line="240" w:before="0" w:after="0"/>
      <w:jc w:val="left"/>
    </w:pPr>
    <w:rPr>
      <w:rFonts w:ascii="Arial" w:hAnsi="Arial" w:cs="Arial" w:eastAsia="Calibri"/>
      <w:color w:val="000000"/>
      <w:kern w:val="0"/>
      <w:sz w:val="24"/>
      <w:szCs w:val="24"/>
      <w:lang w:val="ru-RU" w:eastAsia="en-US" w:bidi="ar-SA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podpiska.pochta.ru/collection/deti" TargetMode="External"/><Relationship Id="rId4" Type="http://schemas.openxmlformats.org/officeDocument/2006/relationships/hyperlink" Target="https://podpiska.pochta.ru/derevo-dobra/region" TargetMode="External"/><Relationship Id="rId5" Type="http://schemas.openxmlformats.org/officeDocument/2006/relationships/hyperlink" Target="mailto:Ovdina-A@russianpost.ru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LibreOffice/24.8.5.2$Linux_X86_64 LibreOffice_project/480$Build-2</Application>
  <AppVersion>15.0000</AppVersion>
  <Pages>1</Pages>
  <Words>280</Words>
  <Characters>1842</Characters>
  <CharactersWithSpaces>2205</CharactersWithSpaces>
  <Paragraphs>16</Paragraphs>
  <Company>АО "Почта России"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2026-07-30T12:53:00Z</dcterms:created>
  <dc:creator>Воробьева Анна Юрьевна</dc:creator>
  <dc:description/>
  <dc:language>ru-RU</dc:language>
  <cp:lastModifiedBy/>
  <dcterms:modified xsi:type="dcterms:W3CDTF">2026-08-03T14:45:56Z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