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53"/>
        <w:gridCol w:w="2517"/>
      </w:tblGrid>
      <w:tr>
        <w:trPr>
          <w:trHeight w:val="1719" w:hRule="atLeast"/>
        </w:trPr>
        <w:tc>
          <w:tcPr>
            <w:tcW w:w="7053" w:type="dxa"/>
            <w:tcBorders/>
            <w:shd w:color="auto" w:fill="auto" w:val="clear"/>
          </w:tcPr>
          <w:p>
            <w:pPr>
              <w:pStyle w:val="Normal"/>
              <w:jc w:val="both"/>
              <w:rPr>
                <w:rFonts w:ascii="Arial" w:hAnsi="Arial" w:eastAsia="Arial Unicode MS" w:cs="Arial Unicode MS"/>
                <w:b/>
                <w:bCs/>
                <w:color w:val="0000E6"/>
                <w:sz w:val="24"/>
                <w:szCs w:val="24"/>
                <w:u w:val="none" w:color="0B308C"/>
                <w:lang w:eastAsia="ru-RU"/>
              </w:rPr>
            </w:pPr>
            <w:r>
              <w:rPr>
                <w:rFonts w:eastAsia="Arial Unicode MS" w:cs="Arial Unicode MS" w:ascii="Arial" w:hAnsi="Arial"/>
                <w:b/>
                <w:bCs/>
                <w:color w:val="0000E6"/>
                <w:sz w:val="24"/>
                <w:szCs w:val="24"/>
                <w:u w:val="none" w:color="0B308C"/>
                <w:lang w:eastAsia="ru-RU"/>
              </w:rPr>
            </w:r>
          </w:p>
          <w:p>
            <w:pPr>
              <w:pStyle w:val="Normal"/>
              <w:jc w:val="both"/>
              <w:rPr>
                <w:rFonts w:ascii="Arial" w:hAnsi="Arial" w:eastAsia="Arial Unicode MS" w:cs="Arial Unicode MS"/>
                <w:b/>
                <w:bCs/>
                <w:color w:val="0000E6"/>
                <w:sz w:val="24"/>
                <w:szCs w:val="24"/>
                <w:u w:val="none" w:color="0B308C"/>
                <w:lang w:eastAsia="ru-RU"/>
              </w:rPr>
            </w:pPr>
            <w:r>
              <w:rPr>
                <w:rFonts w:eastAsia="Arial Unicode MS" w:cs="Arial Unicode MS" w:ascii="Arial" w:hAnsi="Arial"/>
                <w:b/>
                <w:bCs/>
                <w:color w:val="0000E6"/>
                <w:sz w:val="24"/>
                <w:szCs w:val="24"/>
                <w:u w:val="none" w:color="0B308C"/>
                <w:lang w:eastAsia="ru-RU"/>
              </w:rPr>
            </w:r>
          </w:p>
          <w:p>
            <w:pPr>
              <w:pStyle w:val="Normal"/>
              <w:jc w:val="both"/>
              <w:rPr>
                <w:rFonts w:ascii="Arial" w:hAnsi="Arial" w:eastAsia="Arial Unicode MS" w:cs="Arial Unicode MS"/>
                <w:b/>
                <w:bCs/>
                <w:color w:val="0000E6"/>
                <w:sz w:val="24"/>
                <w:szCs w:val="24"/>
                <w:u w:val="none" w:color="0B308C"/>
                <w:lang w:eastAsia="ru-RU"/>
              </w:rPr>
            </w:pPr>
            <w:r>
              <w:rPr>
                <w:rFonts w:eastAsia="Arial Unicode MS" w:cs="Arial Unicode MS" w:ascii="Arial" w:hAnsi="Arial"/>
                <w:b/>
                <w:bCs/>
                <w:color w:val="0000E6"/>
                <w:sz w:val="24"/>
                <w:szCs w:val="24"/>
                <w:u w:val="none" w:color="0B308C"/>
                <w:lang w:eastAsia="ru-RU"/>
              </w:rPr>
              <w:t xml:space="preserve">ПРЕСС-РЕЛИЗ                                                                            </w:t>
            </w:r>
          </w:p>
          <w:p>
            <w:pPr>
              <w:pStyle w:val="Normal"/>
              <w:spacing w:before="0" w:after="160"/>
              <w:jc w:val="both"/>
              <w:rPr>
                <w:rFonts w:ascii="Arial" w:hAnsi="Arial" w:eastAsia="Arial Unicode MS" w:cs="Arial Unicode MS"/>
                <w:color w:val="0000E6"/>
                <w:sz w:val="24"/>
                <w:szCs w:val="24"/>
                <w:u w:val="none" w:color="0B308C"/>
                <w:lang w:eastAsia="ru-RU"/>
              </w:rPr>
            </w:pPr>
            <w:r>
              <w:rPr>
                <w:rFonts w:eastAsia="Arial Unicode MS" w:cs="Arial Unicode MS" w:ascii="Arial" w:hAnsi="Arial"/>
                <w:color w:val="0000E6"/>
                <w:sz w:val="24"/>
                <w:szCs w:val="24"/>
                <w:u w:val="none" w:color="0B308C"/>
                <w:lang w:eastAsia="ru-RU"/>
              </w:rPr>
              <w:t>3</w:t>
            </w:r>
            <w:r>
              <w:rPr>
                <w:rFonts w:eastAsia="Arial Unicode MS" w:cs="Arial Unicode MS" w:ascii="Arial" w:hAnsi="Arial"/>
                <w:color w:val="0000E6"/>
                <w:sz w:val="24"/>
                <w:szCs w:val="24"/>
                <w:u w:val="none" w:color="0B308C"/>
                <w:lang w:eastAsia="ru-RU"/>
              </w:rPr>
              <w:t>1</w:t>
            </w:r>
            <w:r>
              <w:rPr>
                <w:rFonts w:eastAsia="Arial Unicode MS" w:cs="Arial Unicode MS" w:ascii="Arial" w:hAnsi="Arial"/>
                <w:color w:val="0000E6"/>
                <w:sz w:val="24"/>
                <w:szCs w:val="24"/>
                <w:u w:val="none" w:color="0B308C"/>
                <w:lang w:eastAsia="ru-RU"/>
              </w:rPr>
              <w:t xml:space="preserve"> июля 2026 </w:t>
            </w:r>
            <w:r>
              <mc:AlternateContent>
                <mc:Choice Requires="wps">
                  <w:drawing>
                    <wp:anchor behindDoc="0" distT="0" distB="0" distL="0" distR="0" simplePos="0" locked="0" layoutInCell="1" allowOverlap="1" relativeHeight="3" wp14:anchorId="08A28D68">
                      <wp:simplePos x="0" y="0"/>
                      <wp:positionH relativeFrom="column">
                        <wp:posOffset>-1905</wp:posOffset>
                      </wp:positionH>
                      <wp:positionV relativeFrom="paragraph">
                        <wp:posOffset>251460</wp:posOffset>
                      </wp:positionV>
                      <wp:extent cx="4506595" cy="635"/>
                      <wp:effectExtent l="12700" t="12700" r="13335" b="12700"/>
                      <wp:wrapNone/>
                      <wp:docPr id="1" name="Прямая соединительная линия 3"/>
                      <a:graphic xmlns:a="http://schemas.openxmlformats.org/drawingml/2006/main">
                        <a:graphicData uri="http://schemas.microsoft.com/office/word/2010/wordprocessingShape">
                          <wps:wsp>
                            <wps:cNvSpPr/>
                            <wps:spPr>
                              <a:xfrm flipH="1">
                                <a:off x="0" y="0"/>
                                <a:ext cx="4506480" cy="720"/>
                              </a:xfrm>
                              <a:prstGeom prst="line">
                                <a:avLst/>
                              </a:prstGeom>
                              <a:ln w="25400">
                                <a:solidFill>
                                  <a:srgbClr val="0000e6"/>
                                </a:solidFill>
                                <a:round/>
                              </a:ln>
                            </wps:spPr>
                            <wps:style>
                              <a:lnRef idx="0"/>
                              <a:fillRef idx="0"/>
                              <a:effectRef idx="0"/>
                              <a:fontRef idx="minor"/>
                            </wps:style>
                            <wps:bodyPr/>
                          </wps:wsp>
                        </a:graphicData>
                      </a:graphic>
                    </wp:anchor>
                  </w:drawing>
                </mc:Choice>
                <mc:Fallback>
                  <w:pict>
                    <v:line id="shape_0" from="-0.15pt,19.8pt" to="354.65pt,19.8pt" ID="Прямая соединительная линия 3" stroked="t" o:allowincell="f" style="position:absolute;flip:x" wp14:anchorId="08A28D68">
                      <v:stroke color="#0000e6" weight="25560" joinstyle="round" endcap="flat"/>
                      <v:fill o:detectmouseclick="t" on="false"/>
                      <w10:wrap type="none"/>
                    </v:line>
                  </w:pict>
                </mc:Fallback>
              </mc:AlternateContent>
            </w:r>
            <w:r>
              <w:rPr>
                <w:rFonts w:eastAsia="Arial Unicode MS" w:cs="Arial Unicode MS" w:ascii="Arial" w:hAnsi="Arial"/>
                <w:color w:val="0000E6"/>
                <w:sz w:val="24"/>
                <w:szCs w:val="24"/>
                <w:u w:val="none" w:color="0B308C"/>
                <w:lang w:eastAsia="ru-RU"/>
              </w:rPr>
              <w:t xml:space="preserve"> </w:t>
            </w:r>
          </w:p>
        </w:tc>
        <w:tc>
          <w:tcPr>
            <w:tcW w:w="2517" w:type="dxa"/>
            <w:tcBorders/>
            <w:shd w:color="auto" w:fill="auto" w:val="clear"/>
          </w:tcPr>
          <w:p>
            <w:pPr>
              <w:pStyle w:val="Normal"/>
              <w:spacing w:lineRule="auto" w:line="288" w:before="120" w:after="120"/>
              <w:jc w:val="both"/>
              <w:rPr>
                <w:rFonts w:ascii="Times New Roman" w:hAnsi="Times New Roman" w:eastAsia="Times New Roman" w:cs="Times New Roman"/>
                <w:b/>
                <w:color w:val="0918DD"/>
                <w:sz w:val="24"/>
                <w:szCs w:val="24"/>
              </w:rPr>
            </w:pPr>
            <w:r>
              <w:rPr>
                <w:rFonts w:eastAsia="Times New Roman" w:cs="Times New Roman" w:ascii="Times New Roman" w:hAnsi="Times New Roman"/>
                <w:b/>
                <w:color w:val="0918DD"/>
                <w:sz w:val="24"/>
                <w:szCs w:val="24"/>
              </w:rPr>
              <w:t xml:space="preserve">              </w:t>
            </w:r>
            <w:r>
              <w:rPr/>
              <w:drawing>
                <wp:inline distT="0" distB="0" distL="0" distR="0">
                  <wp:extent cx="901700" cy="901700"/>
                  <wp:effectExtent l="0" t="0" r="0" b="0"/>
                  <wp:docPr id="2"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
                          <pic:cNvPicPr>
                            <a:picLocks noChangeAspect="1" noChangeArrowheads="1"/>
                          </pic:cNvPicPr>
                        </pic:nvPicPr>
                        <pic:blipFill>
                          <a:blip r:embed="rId2"/>
                          <a:stretch>
                            <a:fillRect/>
                          </a:stretch>
                        </pic:blipFill>
                        <pic:spPr bwMode="auto">
                          <a:xfrm>
                            <a:off x="0" y="0"/>
                            <a:ext cx="901700" cy="901700"/>
                          </a:xfrm>
                          <a:prstGeom prst="rect">
                            <a:avLst/>
                          </a:prstGeom>
                          <a:noFill/>
                        </pic:spPr>
                      </pic:pic>
                    </a:graphicData>
                  </a:graphic>
                </wp:inline>
              </w:drawing>
            </w:r>
          </w:p>
        </w:tc>
      </w:tr>
    </w:tbl>
    <w:p>
      <w:pPr>
        <w:pStyle w:val="NoSpacing"/>
        <w:jc w:val="center"/>
        <w:rPr>
          <w:rStyle w:val="Strong"/>
          <w:rFonts w:ascii="Roboto" w:hAnsi="Roboto"/>
          <w:b w:val="false"/>
          <w:bCs w:val="false"/>
          <w:color w:val="000000"/>
          <w:shd w:fill="FFFFFF" w:val="clear"/>
        </w:rPr>
      </w:pPr>
      <w:r>
        <w:rPr>
          <w:rFonts w:ascii="Roboto" w:hAnsi="Roboto"/>
          <w:b w:val="false"/>
          <w:bCs w:val="false"/>
          <w:color w:val="000000"/>
          <w:shd w:fill="FFFFFF" w:val="clear"/>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Почта прошла цифровой экватор в первом полугодии 2026 г. и продемонстрировала валовую прибыль 8 млрд руб.</w:t>
      </w:r>
    </w:p>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 xml:space="preserve">Почта России подвела итоги* первого полугодия 2026 г. Показатели демонстрируют положительную динамику: валовая прибыль компании составила 8 млрд руб. (против убытка 0,7 млрд руб. за шесть месяцев 2025 г.), выручка </w:t>
      </w:r>
      <w:r>
        <w:rPr>
          <w:rFonts w:eastAsia="Times New Roman"/>
          <w:i/>
          <w:iCs/>
        </w:rPr>
        <w:t>—</w:t>
      </w:r>
      <w:r>
        <w:rPr>
          <w:rFonts w:eastAsia="Times New Roman" w:cs="Times New Roman" w:ascii="Times New Roman" w:hAnsi="Times New Roman"/>
          <w:b/>
          <w:bCs/>
          <w:sz w:val="24"/>
          <w:szCs w:val="24"/>
          <w:lang w:eastAsia="ru-RU"/>
        </w:rPr>
        <w:t xml:space="preserve"> 108,2 млрд руб., увеличившись на 2,8% год к году. Скорректированный показатель операционной прибыли (EBITDA)** вырос на 10,3 млрд руб. и достиг положительного уровня в 3,5 млрд.   </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Компания перешагнула цифровой экватор: уже более 53% услуг доступно на диджитал-витринах, к концу 1 полугодия 2026 г. более 54% писем отправлялось через электронную почтовую систему. Всё более востребованными становятся цифровые сервисы в целом, в том числе доставка корреспонденции в электронном и гибридном формате </w:t>
      </w:r>
      <w:r>
        <w:rPr>
          <w:rFonts w:eastAsia="Times New Roman"/>
          <w:i/>
          <w:iCs/>
        </w:rPr>
        <w:t>—</w:t>
      </w:r>
      <w:r>
        <w:rPr>
          <w:rFonts w:eastAsia="Times New Roman" w:cs="Times New Roman" w:ascii="Times New Roman" w:hAnsi="Times New Roman"/>
          <w:sz w:val="24"/>
          <w:szCs w:val="24"/>
          <w:lang w:eastAsia="ru-RU"/>
        </w:rPr>
        <w:t xml:space="preserve"> за отчётный период они принесли Почте 14,9 млрд руб.</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 2023 г. Почта проводит программу повышения операционной эффективности. Благодаря ей операционные расходы за первое полугодие 2026 г. снизились на 4,4 млрд руб. </w:t>
      </w:r>
      <w:r>
        <w:rPr>
          <w:rFonts w:eastAsia="Times New Roman"/>
          <w:i/>
          <w:iCs/>
        </w:rPr>
        <w:t xml:space="preserve">— </w:t>
      </w:r>
      <w:r>
        <w:rPr>
          <w:rFonts w:eastAsia="Times New Roman" w:cs="Times New Roman" w:ascii="Times New Roman" w:hAnsi="Times New Roman"/>
          <w:sz w:val="24"/>
          <w:szCs w:val="24"/>
          <w:lang w:eastAsia="ru-RU"/>
        </w:rPr>
        <w:t>на 4% год к году.</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Коммерческие направления показали рост на 8% (+1,1млрд руб.), из них выручка от грузоперевозок увеличилась на 31% год к году, а от услуг фулфилмента и прочих складских логистических услуг </w:t>
      </w:r>
      <w:r>
        <w:rPr>
          <w:rFonts w:eastAsia="Times New Roman"/>
          <w:i/>
          <w:iCs/>
        </w:rPr>
        <w:t>—</w:t>
      </w:r>
      <w:r>
        <w:rPr>
          <w:rFonts w:eastAsia="Times New Roman" w:cs="Times New Roman" w:ascii="Times New Roman" w:hAnsi="Times New Roman"/>
          <w:sz w:val="24"/>
          <w:szCs w:val="24"/>
          <w:lang w:eastAsia="ru-RU"/>
        </w:rPr>
        <w:t xml:space="preserve"> на 60%.    </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Непрерывная системная цифровизация услуг, обновление инфраструктуры, а также углубление интеграции с маркетплейсами и расширение линейки сервисов для бизнеса также приносят весомые результаты. </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 начала года более 20 000 новых представителей малого и среднего бизнеса начали активно пользоваться услугами компании </w:t>
      </w:r>
      <w:r>
        <w:rPr>
          <w:rFonts w:eastAsia="Times New Roman"/>
          <w:i/>
          <w:iCs/>
        </w:rPr>
        <w:t>—</w:t>
      </w:r>
      <w:r>
        <w:rPr>
          <w:rFonts w:eastAsia="Times New Roman" w:cs="Times New Roman" w:ascii="Times New Roman" w:hAnsi="Times New Roman"/>
          <w:sz w:val="24"/>
          <w:szCs w:val="24"/>
          <w:lang w:eastAsia="ru-RU"/>
        </w:rPr>
        <w:t xml:space="preserve"> прирост на 20% больше, чем за аналогичный период 2025 г. Аудитория цифровых каналов продолжает стабильно расширяться: на 9% увеличилось количество пользователей личного кабинета юридических лиц, около 16% аудитории уже перешли на мобильные платформы. К</w:t>
      </w:r>
      <w:r>
        <w:rPr>
          <w:rFonts w:cs="Times New Roman" w:ascii="Times New Roman" w:hAnsi="Times New Roman"/>
          <w:sz w:val="24"/>
          <w:szCs w:val="24"/>
        </w:rPr>
        <w:t>оличество активных пользователей личного кабинета и приложения Почты составляет 12,5 млн в месяц</w:t>
      </w:r>
      <w:r>
        <w:rPr>
          <w:rFonts w:eastAsia="Times New Roman" w:cs="Times New Roman" w:ascii="Times New Roman" w:hAnsi="Times New Roman"/>
          <w:sz w:val="24"/>
          <w:szCs w:val="24"/>
          <w:lang w:eastAsia="ru-RU"/>
        </w:rPr>
        <w:t xml:space="preserve">. </w:t>
      </w:r>
    </w:p>
    <w:p>
      <w:pPr>
        <w:pStyle w:val="Normal"/>
        <w:spacing w:lineRule="auto" w:line="240" w:beforeAutospacing="1" w:afterAutospacing="1"/>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i/>
          <w:iCs/>
          <w:sz w:val="24"/>
          <w:szCs w:val="24"/>
          <w:lang w:eastAsia="ru-RU"/>
        </w:rPr>
        <w:t>«</w:t>
      </w:r>
      <w:r>
        <w:rPr>
          <w:rFonts w:cs="Times New Roman" w:ascii="Times New Roman" w:hAnsi="Times New Roman"/>
          <w:i/>
          <w:iCs/>
          <w:color w:val="000000"/>
          <w:sz w:val="24"/>
          <w:szCs w:val="24"/>
          <w:shd w:fill="FFFFFF" w:val="clear"/>
        </w:rPr>
        <w:t>Мы планомерно и устойчиво улучшаем финансовый результат компании благодаря ускоренному развитию современных коммерческих направлений, за счёт которых фактически субсидируются социальные услуги Почты России. Нашими приоритетами сегодня остаются повышение заработных плат сотрудников, модернизация почтовой инфраструктуры, развитие актуальных сервисов, отвечающих запросу клиентов, а также обеспечение лидерства компании на рынке коммерческой логистики</w:t>
      </w:r>
      <w:r>
        <w:rPr>
          <w:rFonts w:cs="Times New Roman" w:ascii="Times New Roman" w:hAnsi="Times New Roman"/>
          <w:color w:val="000000"/>
          <w:sz w:val="24"/>
          <w:szCs w:val="24"/>
          <w:shd w:fill="FFFFFF" w:val="clear"/>
        </w:rPr>
        <w:t>»</w:t>
      </w:r>
      <w:r>
        <w:rPr>
          <w:rFonts w:eastAsia="Times New Roman" w:cs="Times New Roman" w:ascii="Times New Roman" w:hAnsi="Times New Roman"/>
          <w:sz w:val="24"/>
          <w:szCs w:val="24"/>
          <w:lang w:eastAsia="ru-RU"/>
        </w:rPr>
        <w:t xml:space="preserve">, </w:t>
      </w:r>
      <w:r>
        <w:rPr>
          <w:rFonts w:eastAsia="Times New Roman"/>
          <w:i/>
          <w:iCs/>
        </w:rPr>
        <w:t>—</w:t>
      </w:r>
      <w:r>
        <w:rPr>
          <w:rFonts w:eastAsia="Times New Roman" w:cs="Times New Roman" w:ascii="Times New Roman" w:hAnsi="Times New Roman"/>
          <w:sz w:val="24"/>
          <w:szCs w:val="24"/>
          <w:lang w:eastAsia="ru-RU"/>
        </w:rPr>
        <w:t xml:space="preserve">прокомментировал </w:t>
      </w:r>
      <w:r>
        <w:rPr>
          <w:rFonts w:eastAsia="Times New Roman" w:cs="Times New Roman" w:ascii="Times New Roman" w:hAnsi="Times New Roman"/>
          <w:b/>
          <w:bCs/>
          <w:sz w:val="24"/>
          <w:szCs w:val="24"/>
          <w:lang w:eastAsia="ru-RU"/>
        </w:rPr>
        <w:t>генеральный директор Почты России Миха</w:t>
      </w:r>
      <w:bookmarkStart w:id="0" w:name="_GoBack"/>
      <w:bookmarkEnd w:id="0"/>
      <w:r>
        <w:rPr>
          <w:rFonts w:eastAsia="Times New Roman" w:cs="Times New Roman" w:ascii="Times New Roman" w:hAnsi="Times New Roman"/>
          <w:b/>
          <w:bCs/>
          <w:sz w:val="24"/>
          <w:szCs w:val="24"/>
          <w:lang w:eastAsia="ru-RU"/>
        </w:rPr>
        <w:t xml:space="preserve">ил Волков. </w:t>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Autospacing="1" w:afterAutospacing="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 Российским стандартам бухгалтерского учета (РСБУ) </w:t>
      </w:r>
    </w:p>
    <w:p>
      <w:pPr>
        <w:pStyle w:val="Normal"/>
        <w:spacing w:lineRule="auto" w:line="240" w:beforeAutospacing="1" w:afterAutospacing="1"/>
        <w:jc w:val="both"/>
        <w:rPr/>
      </w:pPr>
      <w:r>
        <w:rPr>
          <w:rFonts w:eastAsia="Times New Roman" w:cs="Times New Roman" w:ascii="Times New Roman" w:hAnsi="Times New Roman"/>
          <w:sz w:val="24"/>
          <w:szCs w:val="24"/>
          <w:lang w:eastAsia="ru-RU"/>
        </w:rPr>
        <w:t xml:space="preserve">** скорректированный показатель </w:t>
      </w:r>
      <w:r>
        <w:rPr>
          <w:rFonts w:eastAsia="Times New Roman" w:cs="Times New Roman" w:ascii="Times New Roman" w:hAnsi="Times New Roman"/>
          <w:sz w:val="24"/>
          <w:szCs w:val="24"/>
          <w:lang w:val="en-US" w:eastAsia="ru-RU"/>
        </w:rPr>
        <w:t>EBITDA</w:t>
      </w:r>
      <w:r>
        <w:rPr>
          <w:rFonts w:eastAsia="Times New Roman" w:cs="Times New Roman" w:ascii="Times New Roman" w:hAnsi="Times New Roman"/>
          <w:sz w:val="24"/>
          <w:szCs w:val="24"/>
          <w:lang w:eastAsia="ru-RU"/>
        </w:rPr>
        <w:t xml:space="preserve"> без учета эффекта от полученных дивидендов от дочерних компаний, которые учитываются в отдельной отчетности АО «Почта России» по РСБУ</w:t>
      </w:r>
    </w:p>
    <w:p>
      <w:pPr>
        <w:pStyle w:val="Normal"/>
        <w:jc w:val="both"/>
        <w:rPr>
          <w:rFonts w:ascii="Times New Roman" w:hAnsi="Times New Roman" w:eastAsia="Times New Roman" w:cs="Times New Roman"/>
          <w:b/>
          <w:i/>
          <w:i/>
          <w:kern w:val="2"/>
          <w:sz w:val="20"/>
          <w:szCs w:val="20"/>
          <w14:ligatures w14:val="standardContextual"/>
        </w:rPr>
      </w:pPr>
      <w:r>
        <w:rPr>
          <w:rFonts w:eastAsia="Times New Roman" w:cs="Times New Roman" w:ascii="Times New Roman" w:hAnsi="Times New Roman"/>
          <w:b/>
          <w:i/>
          <w:kern w:val="2"/>
          <w:sz w:val="20"/>
          <w:szCs w:val="20"/>
          <w14:ligatures w14:val="standardContextual"/>
        </w:rPr>
      </w:r>
    </w:p>
    <w:p>
      <w:pPr>
        <w:pStyle w:val="Normal"/>
        <w:spacing w:lineRule="auto" w:line="288"/>
        <w:jc w:val="both"/>
        <w:rPr>
          <w:rFonts w:ascii="Times New Roman" w:hAnsi="Times New Roman" w:eastAsia="Times New Roman" w:cs="Times New Roman"/>
          <w:b/>
          <w:i/>
          <w:i/>
          <w:kern w:val="2"/>
          <w:sz w:val="20"/>
          <w:szCs w:val="20"/>
          <w14:ligatures w14:val="standardContextual"/>
        </w:rPr>
      </w:pPr>
      <w:r>
        <w:rPr>
          <w:rFonts w:eastAsia="Times New Roman" w:cs="Times New Roman" w:ascii="Times New Roman" w:hAnsi="Times New Roman"/>
          <w:b/>
          <w:i/>
          <w:kern w:val="2"/>
          <w:sz w:val="20"/>
          <w:szCs w:val="20"/>
          <w14:ligatures w14:val="standardContextual"/>
        </w:rPr>
        <w:t>Справочно:</w:t>
      </w:r>
    </w:p>
    <w:p>
      <w:pPr>
        <w:pStyle w:val="Normal"/>
        <w:spacing w:lineRule="auto" w:line="288" w:before="120" w:after="120"/>
        <w:jc w:val="both"/>
        <w:rPr>
          <w:rFonts w:ascii="Times New Roman" w:hAnsi="Times New Roman" w:eastAsia="Calibri" w:cs="Times New Roman"/>
          <w:i/>
          <w:i/>
          <w:iCs/>
          <w:color w:val="000000"/>
          <w:sz w:val="20"/>
          <w:szCs w:val="20"/>
        </w:rPr>
      </w:pPr>
      <w:r>
        <w:rPr>
          <w:rFonts w:eastAsia="Calibri" w:cs="Times New Roman" w:ascii="Times New Roman" w:hAnsi="Times New Roman"/>
          <w:b/>
          <w:bCs/>
          <w:i/>
          <w:iCs/>
          <w:color w:val="000000"/>
          <w:sz w:val="20"/>
          <w:szCs w:val="20"/>
        </w:rPr>
        <w:t>АО «Почта России»</w:t>
      </w:r>
      <w:r>
        <w:rPr>
          <w:rFonts w:eastAsia="Calibri" w:cs="Times New Roman" w:ascii="Times New Roman" w:hAnsi="Times New Roman"/>
          <w:i/>
          <w:iCs/>
          <w:color w:val="000000"/>
          <w:sz w:val="20"/>
          <w:szCs w:val="20"/>
        </w:rPr>
        <w:t xml:space="preserve"> — крупнейший федеральный почтовый и логистический оператор страны, входит в перечень стратегических предприятий Российской Федерации. Седьмая крупнейшая компания в мире по количеству отделений обслуживания клиентов — свыше 38 000 точек, порядка 66% из которых находятся в малых населенных пунктах. Среднемесячная протяженность логистических маршрутов Почты составляет 64 млн километров. </w:t>
      </w:r>
    </w:p>
    <w:p>
      <w:pPr>
        <w:pStyle w:val="Normal"/>
        <w:spacing w:lineRule="auto" w:line="288" w:before="120" w:after="120"/>
        <w:jc w:val="both"/>
        <w:rPr>
          <w:rFonts w:ascii="Times New Roman" w:hAnsi="Times New Roman" w:eastAsia="Calibri" w:cs="Times New Roman"/>
          <w:i/>
          <w:i/>
          <w:iCs/>
          <w:color w:val="000000"/>
          <w:sz w:val="20"/>
          <w:szCs w:val="20"/>
        </w:rPr>
      </w:pPr>
      <w:r>
        <w:rPr>
          <w:rFonts w:eastAsia="Calibri" w:cs="Times New Roman" w:ascii="Times New Roman" w:hAnsi="Times New Roman"/>
          <w:i/>
          <w:iCs/>
          <w:color w:val="000000"/>
          <w:sz w:val="20"/>
          <w:szCs w:val="20"/>
        </w:rPr>
        <w:t>Ежегодно Почта России принимает более 1 млрд бумажных отправлений и обрабатывает более 90 млн посылок.</w:t>
      </w:r>
      <w:r>
        <w:rPr>
          <w:rFonts w:eastAsia="Times New Roman" w:cs="Times New Roman" w:ascii="Times New Roman" w:hAnsi="Times New Roman"/>
          <w:sz w:val="24"/>
          <w:szCs w:val="24"/>
          <w:lang w:eastAsia="ru-RU"/>
        </w:rPr>
        <w:t xml:space="preserve"> </w:t>
      </w:r>
      <w:r>
        <w:rPr>
          <w:rFonts w:eastAsia="Calibri" w:cs="Times New Roman" w:ascii="Times New Roman" w:hAnsi="Times New Roman"/>
          <w:i/>
          <w:iCs/>
          <w:color w:val="000000"/>
          <w:sz w:val="20"/>
          <w:szCs w:val="20"/>
        </w:rPr>
        <w:t>Компания помогает переводить юридически значимую переписку в цифровой формат — в 2025 г. Почта доставила порядка 380 млн писем в электронном и гибридном формате.</w:t>
      </w:r>
    </w:p>
    <w:p>
      <w:pPr>
        <w:pStyle w:val="Normal"/>
        <w:spacing w:lineRule="auto" w:line="288" w:before="120" w:after="120"/>
        <w:jc w:val="both"/>
        <w:rPr>
          <w:rFonts w:ascii="Times New Roman" w:hAnsi="Times New Roman" w:eastAsia="Calibri" w:cs="Times New Roman"/>
          <w:i/>
          <w:i/>
          <w:iCs/>
          <w:color w:val="000000"/>
          <w:sz w:val="20"/>
          <w:szCs w:val="20"/>
          <w:shd w:fill="FFFFFF" w:val="clear"/>
        </w:rPr>
      </w:pPr>
      <w:r>
        <w:rPr>
          <w:rFonts w:eastAsia="Calibri" w:cs="Times New Roman" w:ascii="Times New Roman" w:hAnsi="Times New Roman"/>
          <w:i/>
          <w:iCs/>
          <w:color w:val="000000"/>
          <w:sz w:val="20"/>
          <w:szCs w:val="20"/>
          <w:shd w:fill="FFFFFF" w:val="clear"/>
        </w:rPr>
        <w:t>Почтово-логистический оператор следит за сохранностью всех отправлений, включая онлайн-заказы. На октябрь 2025 г. этот показатель достигает 99,99%.</w:t>
      </w:r>
    </w:p>
    <w:p>
      <w:pPr>
        <w:pStyle w:val="Normal"/>
        <w:spacing w:lineRule="auto" w:line="288"/>
        <w:jc w:val="both"/>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pacing w:lineRule="auto" w:line="360" w:before="0" w:after="0"/>
        <w:jc w:val="both"/>
        <w:rPr>
          <w:rFonts w:ascii="Times New Roman" w:hAnsi="Times New Roman" w:eastAsia="Times New Roman" w:cs="Times New Roman"/>
          <w:b/>
          <w:bCs/>
          <w:color w:val="000000"/>
          <w:sz w:val="24"/>
          <w:szCs w:val="24"/>
        </w:rPr>
      </w:pPr>
      <w:r>
        <w:rPr>
          <w:rFonts w:eastAsia="Times New Roman" w:cs="Times New Roman" w:ascii="Times New Roman" w:hAnsi="Times New Roman"/>
          <w:b/>
          <w:bCs/>
          <w:color w:val="000000"/>
          <w:sz w:val="24"/>
          <w:szCs w:val="24"/>
        </w:rPr>
        <w:t>Пресс-служба АО «Почта России»</w:t>
      </w:r>
    </w:p>
    <w:p>
      <w:pPr>
        <w:pStyle w:val="Normal"/>
        <w:spacing w:lineRule="auto" w:line="360" w:before="0" w:after="0"/>
        <w:jc w:val="both"/>
        <w:rPr>
          <w:rFonts w:ascii="Times New Roman" w:hAnsi="Times New Roman" w:eastAsia="Times New Roman" w:cs="Times New Roman"/>
          <w:bCs/>
          <w:color w:val="000000"/>
          <w:sz w:val="24"/>
          <w:szCs w:val="24"/>
        </w:rPr>
      </w:pPr>
      <w:r>
        <w:rPr>
          <w:rFonts w:eastAsia="Times New Roman" w:cs="Times New Roman" w:ascii="Times New Roman" w:hAnsi="Times New Roman"/>
          <w:bCs/>
          <w:color w:val="000000"/>
          <w:sz w:val="24"/>
          <w:szCs w:val="24"/>
        </w:rPr>
        <w:t>Александра Овдина</w:t>
      </w:r>
    </w:p>
    <w:p>
      <w:pPr>
        <w:pStyle w:val="Normal"/>
        <w:spacing w:lineRule="auto" w:line="360" w:before="0" w:after="0"/>
        <w:jc w:val="both"/>
        <w:rPr>
          <w:rFonts w:ascii="Times New Roman" w:hAnsi="Times New Roman" w:eastAsia="Times New Roman" w:cs="Times New Roman"/>
          <w:b w:val="false"/>
          <w:bCs/>
          <w:i w:val="false"/>
          <w:i w:val="false"/>
          <w:caps w:val="false"/>
          <w:smallCaps w:val="false"/>
          <w:color w:val="000000"/>
          <w:spacing w:val="0"/>
          <w:sz w:val="24"/>
          <w:szCs w:val="24"/>
        </w:rPr>
      </w:pPr>
      <w:r>
        <w:rPr>
          <w:rFonts w:eastAsia="Times New Roman" w:cs="Times New Roman" w:ascii="Times New Roman" w:hAnsi="Times New Roman"/>
          <w:b w:val="false"/>
          <w:bCs/>
          <w:i w:val="false"/>
          <w:caps w:val="false"/>
          <w:smallCaps w:val="false"/>
          <w:color w:val="000000"/>
          <w:spacing w:val="0"/>
          <w:sz w:val="24"/>
          <w:szCs w:val="24"/>
        </w:rPr>
        <w:t>Раб. +7 (391) 219-17-60 доб. 02097</w:t>
      </w:r>
    </w:p>
    <w:p>
      <w:pPr>
        <w:pStyle w:val="Normal"/>
        <w:spacing w:lineRule="auto" w:line="360" w:before="0" w:after="0"/>
        <w:jc w:val="both"/>
        <w:rPr>
          <w:rFonts w:ascii="Times New Roman" w:hAnsi="Times New Roman" w:eastAsia="Times New Roman" w:cs="Times New Roman"/>
          <w:bCs/>
          <w:color w:val="000000"/>
          <w:sz w:val="24"/>
          <w:szCs w:val="24"/>
        </w:rPr>
      </w:pPr>
      <w:r>
        <w:rPr>
          <w:rFonts w:eastAsia="Times New Roman" w:cs="Times New Roman" w:ascii="Times New Roman" w:hAnsi="Times New Roman"/>
          <w:bCs/>
          <w:color w:val="000000"/>
          <w:sz w:val="24"/>
          <w:szCs w:val="24"/>
        </w:rPr>
        <w:t>Тел. +7 (908) 213-11-10</w:t>
      </w:r>
    </w:p>
    <w:p>
      <w:pPr>
        <w:pStyle w:val="Normal"/>
        <w:spacing w:lineRule="auto" w:line="360" w:before="0" w:after="0"/>
        <w:jc w:val="both"/>
        <w:rPr/>
      </w:pPr>
      <w:hyperlink r:id="rId3">
        <w:bookmarkStart w:id="1" w:name="_Hlk219109036_Копия_1"/>
        <w:bookmarkStart w:id="2" w:name="_Hlk219109036_Копия_1"/>
        <w:bookmarkStart w:id="3" w:name="_GoBack_Копия_1_Копия_1_Копия_1"/>
        <w:bookmarkStart w:id="4" w:name="_GoBack_Копия_1_Копия_1_Копия_1_Копия_1"/>
        <w:bookmarkStart w:id="5" w:name="_Hlk219109036_Копия_1_Копия_1_Копия_1"/>
        <w:bookmarkStart w:id="6" w:name="_GoBack_Копия_1"/>
        <w:bookmarkStart w:id="7" w:name="_Hlk219109036_Копия_1_Копия_1"/>
        <w:bookmarkStart w:id="8" w:name="_GoBack_Копия_1_Копия_1"/>
        <w:bookmarkStart w:id="9" w:name="_Hlk219109036"/>
        <w:bookmarkEnd w:id="1"/>
        <w:bookmarkEnd w:id="2"/>
        <w:bookmarkEnd w:id="3"/>
        <w:bookmarkEnd w:id="4"/>
        <w:bookmarkEnd w:id="5"/>
        <w:bookmarkEnd w:id="6"/>
        <w:bookmarkEnd w:id="7"/>
        <w:bookmarkEnd w:id="8"/>
        <w:bookmarkEnd w:id="9"/>
        <w:r>
          <w:rPr>
            <w:rStyle w:val="Hyperlink"/>
            <w:rFonts w:eastAsia="Times New Roman" w:cs="Times New Roman" w:ascii="Times New Roman" w:hAnsi="Times New Roman"/>
            <w:b/>
            <w:bCs/>
            <w:i w:val="false"/>
            <w:iCs w:val="false"/>
            <w:color w:val="0000FF"/>
            <w:sz w:val="24"/>
            <w:szCs w:val="24"/>
            <w:u w:val="single"/>
            <w:shd w:fill="auto" w:val="clear"/>
            <w:lang w:val="ru-RU" w:eastAsia="ru-RU"/>
          </w:rPr>
          <w:t>Ovdina-A@russianpost.ru</w:t>
        </w:r>
      </w:hyperlink>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 w:name="Segoe UI">
    <w:charset w:val="01"/>
    <w:family w:val="swiss"/>
    <w:pitch w:val="variable"/>
  </w:font>
  <w:font w:name="Roboto">
    <w:charset w:val="01"/>
    <w:family w:val="auto"/>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c034e"/>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9c034e"/>
    <w:rPr>
      <w:b/>
      <w:bCs/>
    </w:rPr>
  </w:style>
  <w:style w:type="character" w:styleId="Hyperlink">
    <w:name w:val="Hyperlink"/>
    <w:basedOn w:val="DefaultParagraphFont"/>
    <w:unhideWhenUsed/>
    <w:rsid w:val="009c034e"/>
    <w:rPr>
      <w:color w:val="0000FF"/>
      <w:u w:val="single"/>
    </w:rPr>
  </w:style>
  <w:style w:type="character" w:styleId="font-sc-le1wax-0" w:customStyle="1">
    <w:name w:val="font-sc-le1wax-0"/>
    <w:basedOn w:val="DefaultParagraphFont"/>
    <w:qFormat/>
    <w:rsid w:val="006141f6"/>
    <w:rPr/>
  </w:style>
  <w:style w:type="character" w:styleId="translatable-message" w:customStyle="1">
    <w:name w:val="translatable-message"/>
    <w:basedOn w:val="DefaultParagraphFont"/>
    <w:qFormat/>
    <w:rsid w:val="003871c8"/>
    <w:rPr/>
  </w:style>
  <w:style w:type="character" w:styleId="z-" w:customStyle="1">
    <w:name w:val="z-Начало формы Знак"/>
    <w:basedOn w:val="DefaultParagraphFont"/>
    <w:link w:val="HTMLTopofForm"/>
    <w:uiPriority w:val="99"/>
    <w:semiHidden/>
    <w:qFormat/>
    <w:rsid w:val="003871c8"/>
    <w:rPr>
      <w:rFonts w:ascii="Arial" w:hAnsi="Arial" w:eastAsia="Times New Roman" w:cs="Arial"/>
      <w:vanish/>
      <w:sz w:val="16"/>
      <w:szCs w:val="16"/>
      <w:lang w:eastAsia="ru-RU"/>
    </w:rPr>
  </w:style>
  <w:style w:type="character" w:styleId="z-1" w:customStyle="1">
    <w:name w:val="z-Конец формы Знак"/>
    <w:basedOn w:val="DefaultParagraphFont"/>
    <w:link w:val="HTMLBottomofForm"/>
    <w:uiPriority w:val="99"/>
    <w:semiHidden/>
    <w:qFormat/>
    <w:rsid w:val="003871c8"/>
    <w:rPr>
      <w:rFonts w:ascii="Arial" w:hAnsi="Arial" w:eastAsia="Times New Roman" w:cs="Arial"/>
      <w:vanish/>
      <w:sz w:val="16"/>
      <w:szCs w:val="16"/>
      <w:lang w:eastAsia="ru-RU"/>
    </w:rPr>
  </w:style>
  <w:style w:type="character" w:styleId="FollowedHyperlink">
    <w:name w:val="FollowedHyperlink"/>
    <w:basedOn w:val="DefaultParagraphFont"/>
    <w:uiPriority w:val="99"/>
    <w:semiHidden/>
    <w:unhideWhenUsed/>
    <w:rsid w:val="00331cab"/>
    <w:rPr>
      <w:color w:themeColor="followedHyperlink" w:val="954F72"/>
      <w:u w:val="single"/>
    </w:rPr>
  </w:style>
  <w:style w:type="character" w:styleId="CommentReference">
    <w:name w:val="annotation reference"/>
    <w:basedOn w:val="DefaultParagraphFont"/>
    <w:uiPriority w:val="99"/>
    <w:semiHidden/>
    <w:unhideWhenUsed/>
    <w:qFormat/>
    <w:rsid w:val="00146afe"/>
    <w:rPr>
      <w:sz w:val="16"/>
      <w:szCs w:val="16"/>
    </w:rPr>
  </w:style>
  <w:style w:type="character" w:styleId="Style14" w:customStyle="1">
    <w:name w:val="Текст примечания Знак"/>
    <w:basedOn w:val="DefaultParagraphFont"/>
    <w:uiPriority w:val="99"/>
    <w:semiHidden/>
    <w:qFormat/>
    <w:rsid w:val="00146afe"/>
    <w:rPr>
      <w:sz w:val="20"/>
      <w:szCs w:val="20"/>
    </w:rPr>
  </w:style>
  <w:style w:type="character" w:styleId="Style15" w:customStyle="1">
    <w:name w:val="Тема примечания Знак"/>
    <w:basedOn w:val="Style14"/>
    <w:link w:val="annotationsubject"/>
    <w:uiPriority w:val="99"/>
    <w:semiHidden/>
    <w:qFormat/>
    <w:rsid w:val="00146afe"/>
    <w:rPr>
      <w:b/>
      <w:bCs/>
      <w:sz w:val="20"/>
      <w:szCs w:val="20"/>
    </w:rPr>
  </w:style>
  <w:style w:type="character" w:styleId="Style16" w:customStyle="1">
    <w:name w:val="Текст выноски Знак"/>
    <w:basedOn w:val="DefaultParagraphFont"/>
    <w:link w:val="BalloonText"/>
    <w:uiPriority w:val="99"/>
    <w:semiHidden/>
    <w:qFormat/>
    <w:rsid w:val="00146afe"/>
    <w:rPr>
      <w:rFonts w:ascii="Segoe UI" w:hAnsi="Segoe UI" w:cs="Segoe UI"/>
      <w:sz w:val="18"/>
      <w:szCs w:val="18"/>
    </w:rPr>
  </w:style>
  <w:style w:type="paragraph" w:styleId="Style17">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8">
    <w:name w:val="Указатель"/>
    <w:basedOn w:val="Normal"/>
    <w:qFormat/>
    <w:pPr>
      <w:suppressLineNumbers/>
    </w:pPr>
    <w:rPr>
      <w:rFonts w:cs="Noto Sans"/>
    </w:rPr>
  </w:style>
  <w:style w:type="paragraph" w:styleId="Default" w:customStyle="1">
    <w:name w:val="Default"/>
    <w:qFormat/>
    <w:rsid w:val="009c034e"/>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paragraph" w:styleId="paragraph-sc-10hckd4-0" w:customStyle="1">
    <w:name w:val="paragraph-sc-10hckd4-0"/>
    <w:basedOn w:val="Normal"/>
    <w:qFormat/>
    <w:rsid w:val="006141f6"/>
    <w:pPr>
      <w:spacing w:lineRule="auto" w:line="240" w:beforeAutospacing="1" w:afterAutospacing="1"/>
    </w:pPr>
    <w:rPr>
      <w:rFonts w:ascii="Times New Roman" w:hAnsi="Times New Roman" w:eastAsia="Times New Roman" w:cs="Times New Roman"/>
      <w:sz w:val="24"/>
      <w:szCs w:val="24"/>
      <w:lang w:eastAsia="ru-RU"/>
    </w:rPr>
  </w:style>
  <w:style w:type="paragraph" w:styleId="HTMLTopofForm">
    <w:name w:val="HTML Top of Form"/>
    <w:basedOn w:val="Normal"/>
    <w:next w:val="Normal"/>
    <w:link w:val="z-"/>
    <w:uiPriority w:val="99"/>
    <w:semiHidden/>
    <w:unhideWhenUsed/>
    <w:qFormat/>
    <w:rsid w:val="003871c8"/>
    <w:pPr>
      <w:pBdr>
        <w:bottom w:val="single" w:sz="6" w:space="1" w:color="000000"/>
      </w:pBdr>
      <w:spacing w:lineRule="auto" w:line="240" w:before="0" w:after="0"/>
      <w:jc w:val="center"/>
    </w:pPr>
    <w:rPr>
      <w:rFonts w:ascii="Arial" w:hAnsi="Arial" w:eastAsia="Times New Roman" w:cs="Arial"/>
      <w:vanish/>
      <w:sz w:val="16"/>
      <w:szCs w:val="16"/>
      <w:lang w:eastAsia="ru-RU"/>
    </w:rPr>
  </w:style>
  <w:style w:type="paragraph" w:styleId="HTMLBottomofForm">
    <w:name w:val="HTML Bottom of Form"/>
    <w:basedOn w:val="Normal"/>
    <w:next w:val="Normal"/>
    <w:link w:val="z-1"/>
    <w:uiPriority w:val="99"/>
    <w:semiHidden/>
    <w:unhideWhenUsed/>
    <w:qFormat/>
    <w:rsid w:val="003871c8"/>
    <w:pPr>
      <w:pBdr>
        <w:top w:val="single" w:sz="6" w:space="1" w:color="000000"/>
      </w:pBdr>
      <w:spacing w:lineRule="auto" w:line="240" w:before="0" w:after="0"/>
      <w:jc w:val="center"/>
    </w:pPr>
    <w:rPr>
      <w:rFonts w:ascii="Arial" w:hAnsi="Arial" w:eastAsia="Times New Roman" w:cs="Arial"/>
      <w:vanish/>
      <w:sz w:val="16"/>
      <w:szCs w:val="16"/>
      <w:lang w:eastAsia="ru-RU"/>
    </w:rPr>
  </w:style>
  <w:style w:type="paragraph" w:styleId="NormalWeb">
    <w:name w:val="Normal (Web)"/>
    <w:basedOn w:val="Normal"/>
    <w:uiPriority w:val="99"/>
    <w:unhideWhenUsed/>
    <w:qFormat/>
    <w:rsid w:val="002f134c"/>
    <w:pPr>
      <w:spacing w:lineRule="auto" w:line="240" w:beforeAutospacing="1" w:afterAutospacing="1"/>
    </w:pPr>
    <w:rPr>
      <w:rFonts w:ascii="Times New Roman" w:hAnsi="Times New Roman" w:eastAsia="Times New Roman" w:cs="Times New Roman"/>
      <w:sz w:val="24"/>
      <w:szCs w:val="24"/>
      <w:lang w:eastAsia="ru-RU"/>
    </w:rPr>
  </w:style>
  <w:style w:type="paragraph" w:styleId="NoSpacing">
    <w:name w:val="No Spacing"/>
    <w:uiPriority w:val="1"/>
    <w:qFormat/>
    <w:rsid w:val="00355a56"/>
    <w:pPr>
      <w:widowControl/>
      <w:bidi w:val="0"/>
      <w:spacing w:lineRule="auto" w:line="240" w:before="0" w:after="0"/>
      <w:jc w:val="left"/>
    </w:pPr>
    <w:rPr>
      <w:rFonts w:eastAsia="" w:eastAsiaTheme="minorEastAsia" w:ascii="Calibri" w:hAnsi="Calibri" w:cs=""/>
      <w:color w:val="auto"/>
      <w:kern w:val="2"/>
      <w:sz w:val="24"/>
      <w:szCs w:val="24"/>
      <w:lang w:eastAsia="zh-CN" w:val="ru-RU" w:bidi="ar-SA"/>
      <w14:ligatures w14:val="standardContextual"/>
    </w:rPr>
  </w:style>
  <w:style w:type="paragraph" w:styleId="CommentText">
    <w:name w:val="annotation text"/>
    <w:basedOn w:val="Normal"/>
    <w:link w:val="Style14"/>
    <w:uiPriority w:val="99"/>
    <w:semiHidden/>
    <w:unhideWhenUsed/>
    <w:rsid w:val="00146afe"/>
    <w:pPr>
      <w:spacing w:lineRule="auto" w:line="240"/>
    </w:pPr>
    <w:rPr>
      <w:sz w:val="20"/>
      <w:szCs w:val="20"/>
    </w:rPr>
  </w:style>
  <w:style w:type="paragraph" w:styleId="annotationsubject">
    <w:name w:val="annotation subject"/>
    <w:basedOn w:val="CommentText"/>
    <w:next w:val="CommentText"/>
    <w:link w:val="Style15"/>
    <w:uiPriority w:val="99"/>
    <w:semiHidden/>
    <w:unhideWhenUsed/>
    <w:qFormat/>
    <w:rsid w:val="00146afe"/>
    <w:pPr/>
    <w:rPr>
      <w:b/>
      <w:bCs/>
    </w:rPr>
  </w:style>
  <w:style w:type="paragraph" w:styleId="BalloonText">
    <w:name w:val="Balloon Text"/>
    <w:basedOn w:val="Normal"/>
    <w:link w:val="Style16"/>
    <w:uiPriority w:val="99"/>
    <w:semiHidden/>
    <w:unhideWhenUsed/>
    <w:qFormat/>
    <w:rsid w:val="00146afe"/>
    <w:pPr>
      <w:spacing w:lineRule="auto" w:line="240" w:before="0" w:after="0"/>
    </w:pPr>
    <w:rPr>
      <w:rFonts w:ascii="Segoe UI" w:hAnsi="Segoe UI" w:cs="Segoe UI"/>
      <w:sz w:val="18"/>
      <w:szCs w:val="18"/>
    </w:rPr>
  </w:style>
  <w:style w:type="paragraph" w:styleId="Revision">
    <w:name w:val="Revision"/>
    <w:uiPriority w:val="99"/>
    <w:semiHidden/>
    <w:qFormat/>
    <w:rsid w:val="00e96c92"/>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vdina-A@russianpost.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FCD0C-E4DC-4B3F-8D12-08A9F8C28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Application>LibreOffice/24.8.5.2$Linux_X86_64 LibreOffice_project/480$Build-2</Application>
  <AppVersion>15.0000</AppVersion>
  <Pages>2</Pages>
  <Words>478</Words>
  <Characters>3165</Characters>
  <CharactersWithSpaces>3734</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2026-07-28T08:16:00Z</dcterms:created>
  <dc:creator>Назарова Ольга Николаевна</dc:creator>
  <dc:description/>
  <dc:language>ru-RU</dc:language>
  <cp:lastModifiedBy/>
  <cp:lastPrinted>2026-05-13T07:44:00Z</cp:lastPrinted>
  <dcterms:modified xsi:type="dcterms:W3CDTF">2026-07-31T13:52:47Z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