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53"/>
        <w:gridCol w:w="2517"/>
      </w:tblGrid>
      <w:tr>
        <w:trPr>
          <w:trHeight w:val="60" w:hRule="atLeast"/>
        </w:trPr>
        <w:tc>
          <w:tcPr>
            <w:tcW w:w="7053" w:type="dxa"/>
            <w:tcBorders/>
            <w:shd w:color="auto" w:fill="auto" w:val="clear"/>
          </w:tcPr>
          <w:p>
            <w:pPr>
              <w:pStyle w:val="Normal"/>
              <w:jc w:val="both"/>
              <w:rPr>
                <w:rFonts w:ascii="Arial" w:hAnsi="Arial"/>
                <w:b/>
                <w:bCs/>
                <w:color w:val="0000E6"/>
                <w:u w:val="none" w:color="0B308C"/>
              </w:rPr>
            </w:pPr>
            <w:r>
              <w:rPr>
                <w:rFonts w:ascii="Arial" w:hAnsi="Arial"/>
                <w:b/>
                <w:bCs/>
                <w:color w:val="0000E6"/>
                <w:u w:val="none" w:color="0B308C"/>
              </w:rPr>
            </w:r>
          </w:p>
          <w:p>
            <w:pPr>
              <w:pStyle w:val="Normal"/>
              <w:jc w:val="both"/>
              <w:rPr>
                <w:rFonts w:ascii="Arial" w:hAnsi="Arial"/>
                <w:b/>
                <w:bCs/>
                <w:color w:val="0000E6"/>
                <w:u w:val="none" w:color="0B308C"/>
              </w:rPr>
            </w:pPr>
            <w:r>
              <w:rPr>
                <w:rFonts w:ascii="Arial" w:hAnsi="Arial"/>
                <w:b/>
                <w:bCs/>
                <w:color w:val="0000E6"/>
                <w:u w:val="none" w:color="0B308C"/>
              </w:rPr>
            </w:r>
          </w:p>
          <w:p>
            <w:pPr>
              <w:pStyle w:val="Normal"/>
              <w:jc w:val="both"/>
              <w:rPr>
                <w:rFonts w:ascii="Arial" w:hAnsi="Arial"/>
                <w:b/>
                <w:bCs/>
                <w:color w:val="0000E6"/>
                <w:u w:val="none" w:color="0B308C"/>
              </w:rPr>
            </w:pPr>
            <w:r>
              <w:rPr>
                <w:rFonts w:ascii="Arial" w:hAnsi="Arial"/>
                <w:b/>
                <w:bCs/>
                <w:color w:val="0000E6"/>
                <w:u w:val="none" w:color="0B308C"/>
              </w:rPr>
              <w:t xml:space="preserve">ПРЕСС-РЕЛИЗ                                                         </w:t>
            </w:r>
          </w:p>
          <w:p>
            <w:pPr>
              <w:pStyle w:val="Normal"/>
              <w:jc w:val="both"/>
              <w:rPr>
                <w:rFonts w:ascii="Arial" w:hAnsi="Arial"/>
                <w:b/>
                <w:bCs/>
                <w:color w:val="0000E6"/>
                <w:u w:val="none" w:color="0B308C"/>
              </w:rPr>
            </w:pPr>
            <w:r>
              <w:rPr>
                <w:rFonts w:ascii="Arial" w:hAnsi="Arial"/>
                <w:b/>
                <w:bCs/>
                <w:color w:val="0000E6"/>
                <w:u w:val="none" w:color="0B308C"/>
              </w:rPr>
              <w:t xml:space="preserve">                   </w:t>
            </w:r>
          </w:p>
          <w:p>
            <w:pPr>
              <w:pStyle w:val="Normal"/>
              <w:jc w:val="both"/>
              <w:rPr>
                <w:rFonts w:ascii="Arial" w:hAnsi="Arial"/>
                <w:color w:val="0000E6"/>
                <w:u w:val="none" w:color="0B308C"/>
              </w:rPr>
            </w:pPr>
            <w:r>
              <w:rPr>
                <w:rFonts w:ascii="Arial" w:hAnsi="Arial"/>
                <w:color w:val="0000E6"/>
                <w:u w:val="none" w:color="0B308C"/>
                <w:lang w:val="ru-RU"/>
              </w:rPr>
              <w:t>22</w:t>
            </w:r>
            <w:r>
              <w:rPr>
                <w:rFonts w:ascii="Arial" w:hAnsi="Arial"/>
                <w:color w:val="0000E6"/>
                <w:u w:val="none" w:color="0B308C"/>
              </w:rPr>
              <w:t xml:space="preserve"> июня 2026 </w:t>
            </w:r>
            <w:r>
              <mc:AlternateContent>
                <mc:Choice Requires="wps">
                  <w:drawing>
                    <wp:anchor behindDoc="0" distT="0" distB="0" distL="0" distR="0" simplePos="0" locked="0" layoutInCell="1" allowOverlap="1" relativeHeight="3" wp14:anchorId="42984B3B">
                      <wp:simplePos x="0" y="0"/>
                      <wp:positionH relativeFrom="column">
                        <wp:posOffset>-1905</wp:posOffset>
                      </wp:positionH>
                      <wp:positionV relativeFrom="paragraph">
                        <wp:posOffset>251460</wp:posOffset>
                      </wp:positionV>
                      <wp:extent cx="4506595" cy="635"/>
                      <wp:effectExtent l="12700" t="12700" r="13335" b="12700"/>
                      <wp:wrapNone/>
                      <wp:docPr id="1" name="Прямая соединительная линия 3"/>
                      <a:graphic xmlns:a="http://schemas.openxmlformats.org/drawingml/2006/main">
                        <a:graphicData uri="http://schemas.microsoft.com/office/word/2010/wordprocessingShape">
                          <wps:wsp>
                            <wps:cNvSpPr/>
                            <wps:spPr>
                              <a:xfrm flipH="1">
                                <a:off x="0" y="0"/>
                                <a:ext cx="4506480" cy="720"/>
                              </a:xfrm>
                              <a:prstGeom prst="line">
                                <a:avLst/>
                              </a:prstGeom>
                              <a:ln w="25400">
                                <a:solidFill>
                                  <a:srgbClr val="0000e6"/>
                                </a:solidFill>
                                <a:round/>
                              </a:ln>
                            </wps:spPr>
                            <wps:style>
                              <a:lnRef idx="0"/>
                              <a:fillRef idx="0"/>
                              <a:effectRef idx="0"/>
                              <a:fontRef idx="minor"/>
                            </wps:style>
                            <wps:bodyPr/>
                          </wps:wsp>
                        </a:graphicData>
                      </a:graphic>
                    </wp:anchor>
                  </w:drawing>
                </mc:Choice>
                <mc:Fallback>
                  <w:pict>
                    <v:line id="shape_0" from="-0.15pt,19.8pt" to="354.65pt,19.8pt" ID="Прямая соединительная линия 3" stroked="t" o:allowincell="f" style="position:absolute;flip:x" wp14:anchorId="42984B3B">
                      <v:stroke color="#0000e6" weight="25560" joinstyle="round" endcap="flat"/>
                      <v:fill o:detectmouseclick="t" on="false"/>
                      <w10:wrap type="none"/>
                    </v:line>
                  </w:pict>
                </mc:Fallback>
              </mc:AlternateContent>
            </w:r>
            <w:r>
              <w:rPr>
                <w:rFonts w:ascii="Arial" w:hAnsi="Arial"/>
                <w:color w:val="0000E6"/>
                <w:u w:val="none" w:color="0B308C"/>
              </w:rPr>
              <w:t xml:space="preserve"> </w:t>
            </w:r>
          </w:p>
        </w:tc>
        <w:tc>
          <w:tcPr>
            <w:tcW w:w="2517" w:type="dxa"/>
            <w:tcBorders/>
            <w:shd w:color="auto" w:fill="auto" w:val="clear"/>
          </w:tcPr>
          <w:p>
            <w:pPr>
              <w:pStyle w:val="Normal"/>
              <w:spacing w:lineRule="auto" w:line="288" w:before="120" w:after="120"/>
              <w:jc w:val="both"/>
              <w:rPr>
                <w:rFonts w:eastAsia="Times New Roman" w:cs="Times New Roman"/>
                <w:b/>
                <w:color w:val="0918DD"/>
              </w:rPr>
            </w:pPr>
            <w:r>
              <w:rPr>
                <w:rFonts w:eastAsia="Times New Roman" w:cs="Times New Roman"/>
                <w:b/>
                <w:color w:val="0918DD"/>
              </w:rPr>
              <w:t xml:space="preserve">              </w:t>
            </w:r>
            <w:r>
              <w:rPr/>
              <w:drawing>
                <wp:inline distT="0" distB="0" distL="0" distR="0">
                  <wp:extent cx="901700" cy="901700"/>
                  <wp:effectExtent l="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2"/>
                          <a:stretch>
                            <a:fillRect/>
                          </a:stretch>
                        </pic:blipFill>
                        <pic:spPr bwMode="auto">
                          <a:xfrm>
                            <a:off x="0" y="0"/>
                            <a:ext cx="901700" cy="901700"/>
                          </a:xfrm>
                          <a:prstGeom prst="rect">
                            <a:avLst/>
                          </a:prstGeom>
                          <a:noFill/>
                        </pic:spPr>
                      </pic:pic>
                    </a:graphicData>
                  </a:graphic>
                </wp:inline>
              </w:drawing>
            </w:r>
            <w:bookmarkStart w:id="0" w:name="_Hlk231977489"/>
            <w:bookmarkEnd w:id="0"/>
          </w:p>
        </w:tc>
      </w:tr>
    </w:tbl>
    <w:p>
      <w:pPr>
        <w:pStyle w:val="Normal"/>
        <w:rPr>
          <w:color w:val="1F497D"/>
          <w:u w:val="none" w:color="1F497D"/>
        </w:rPr>
      </w:pPr>
      <w:r>
        <w:rPr>
          <w:color w:val="1F497D"/>
          <w:u w:val="none" w:color="1F497D"/>
        </w:rPr>
      </w:r>
    </w:p>
    <w:p>
      <w:pPr>
        <w:pStyle w:val="A"/>
        <w:spacing w:before="240" w:after="240"/>
        <w:jc w:val="center"/>
        <w:rPr>
          <w:rFonts w:ascii="Times New Roman" w:hAnsi="Times New Roman"/>
          <w:b/>
          <w:bCs/>
          <w:sz w:val="28"/>
          <w:szCs w:val="28"/>
        </w:rPr>
      </w:pPr>
      <w:r>
        <w:rPr>
          <w:rFonts w:ascii="Times New Roman" w:hAnsi="Times New Roman"/>
          <w:b/>
          <w:bCs/>
          <w:sz w:val="28"/>
          <w:szCs w:val="28"/>
        </w:rPr>
        <w:t>Почта России в два раза перевыполнила план Федерального Казначейства</w:t>
      </w:r>
    </w:p>
    <w:p>
      <w:pPr>
        <w:pStyle w:val="A"/>
        <w:spacing w:before="120" w:after="120"/>
        <w:jc w:val="both"/>
        <w:rPr>
          <w:rFonts w:ascii="Times New Roman" w:hAnsi="Times New Roman"/>
          <w:b/>
          <w:bCs/>
          <w:sz w:val="24"/>
          <w:szCs w:val="24"/>
        </w:rPr>
      </w:pPr>
      <w:r>
        <w:rPr>
          <w:rFonts w:ascii="Times New Roman" w:hAnsi="Times New Roman"/>
          <w:b/>
          <w:bCs/>
          <w:sz w:val="24"/>
          <w:szCs w:val="24"/>
        </w:rPr>
        <w:t xml:space="preserve">Более чем в два раза Почта России перевыполнила план по повышению эффективности деятельности за счёт внутренних резервов компании. Дополнительный финансовый эффект от реализации дорожной карты мероприятий по итогам 2025 г. составил 16,9 млрд руб. </w:t>
      </w:r>
      <w:r>
        <w:rPr>
          <w:rFonts w:ascii="Times New Roman" w:hAnsi="Times New Roman"/>
          <w:i/>
          <w:iCs/>
          <w:sz w:val="20"/>
          <w:szCs w:val="20"/>
          <w14:textOutline w14:w="0" w14:cap="flat" w14:cmpd="sng" w14:algn="ctr">
            <w14:noFill/>
            <w14:prstDash w14:val="solid"/>
            <w14:bevel/>
          </w14:textOutline>
        </w:rPr>
        <w:t>—</w:t>
      </w:r>
      <w:r>
        <w:rPr>
          <w:rFonts w:ascii="Times New Roman" w:hAnsi="Times New Roman"/>
          <w:b/>
          <w:bCs/>
          <w:sz w:val="24"/>
          <w:szCs w:val="24"/>
        </w:rPr>
        <w:t xml:space="preserve"> такой результат был представлен Управлением по оценке и контролю деятельности стратегических организаций с государственным участием Федерального Казначейства.</w:t>
      </w:r>
    </w:p>
    <w:p>
      <w:pPr>
        <w:pStyle w:val="Normal"/>
        <w:spacing w:before="120" w:after="120"/>
        <w:jc w:val="both"/>
        <w:rPr>
          <w:lang w:val="ru-RU"/>
          <w14:textOutline w14:w="12700" w14:cap="flat" w14:cmpd="sng" w14:algn="ctr">
            <w14:noFill/>
            <w14:prstDash w14:val="solid"/>
            <w14:miter w14:lim="400000"/>
          </w14:textOutline>
        </w:rPr>
      </w:pPr>
      <w:r>
        <w:rPr>
          <w:lang w:val="ru-RU"/>
          <w14:textOutline w14:w="12700" w14:cap="flat" w14:cmpd="sng" w14:algn="ctr">
            <w14:noFill/>
            <w14:prstDash w14:val="solid"/>
            <w14:miter w14:lim="400000"/>
          </w14:textOutline>
        </w:rPr>
        <w:t xml:space="preserve">Результаты оценки реализации стратегии АО «Почта России» и дорожной карты мероприятий по повышению ее эффективности за счет внутренних резервов были представлены на заседании контрольной комиссии Федерального казначейства 18 июня 2026 г. </w:t>
      </w:r>
    </w:p>
    <w:p>
      <w:pPr>
        <w:pStyle w:val="Normal"/>
        <w:spacing w:before="120" w:after="120"/>
        <w:jc w:val="both"/>
        <w:rPr>
          <w:lang w:val="ru-RU"/>
          <w14:textOutline w14:w="12700" w14:cap="flat" w14:cmpd="sng" w14:algn="ctr">
            <w14:noFill/>
            <w14:prstDash w14:val="solid"/>
            <w14:miter w14:lim="400000"/>
          </w14:textOutline>
        </w:rPr>
      </w:pPr>
      <w:r>
        <w:rPr>
          <w:lang w:val="ru-RU"/>
          <w14:textOutline w14:w="12700" w14:cap="flat" w14:cmpd="sng" w14:algn="ctr">
            <w14:noFill/>
            <w14:prstDash w14:val="solid"/>
            <w14:miter w14:lim="400000"/>
          </w14:textOutline>
        </w:rPr>
        <w:t xml:space="preserve">Заседание состоялось под председательством Первого заместителя руководителя Федерального Казначейства с участием генерального директора и руководителей АО «Почта России», должностных лиц Минцифры, Минфина России и Росимущества. </w:t>
      </w:r>
    </w:p>
    <w:p>
      <w:pPr>
        <w:pStyle w:val="Normal"/>
        <w:spacing w:before="120" w:after="120"/>
        <w:jc w:val="both"/>
        <w:rPr>
          <w:lang w:val="ru-RU"/>
          <w14:textOutline w14:w="12700" w14:cap="flat" w14:cmpd="sng" w14:algn="ctr">
            <w14:noFill/>
            <w14:prstDash w14:val="solid"/>
            <w14:miter w14:lim="400000"/>
          </w14:textOutline>
        </w:rPr>
      </w:pPr>
      <w:r>
        <w:rPr>
          <w:lang w:val="ru-RU"/>
          <w14:textOutline w14:w="12700" w14:cap="flat" w14:cmpd="sng" w14:algn="ctr">
            <w14:noFill/>
            <w14:prstDash w14:val="solid"/>
            <w14:miter w14:lim="400000"/>
          </w14:textOutline>
        </w:rPr>
        <w:t>Участниками комиссии были сформированы предложения по дальнейшей работе и выработаны рекомендации по нивелированию рисков в финансово-хозяйственной деятельности.</w:t>
      </w:r>
    </w:p>
    <w:p>
      <w:pPr>
        <w:pStyle w:val="Normal"/>
        <w:jc w:val="both"/>
        <w:rPr>
          <w:lang w:val="ru-RU"/>
          <w14:textOutline w14:w="12700" w14:cap="flat" w14:cmpd="sng" w14:algn="ctr">
            <w14:noFill/>
            <w14:prstDash w14:val="solid"/>
            <w14:miter w14:lim="400000"/>
          </w14:textOutline>
        </w:rPr>
      </w:pPr>
      <w:r>
        <w:rPr>
          <w:lang w:val="ru-RU"/>
          <w14:textOutline w14:w="12700" w14:cap="flat" w14:cmpd="sng" w14:algn="ctr">
            <w14:noFill/>
            <w14:prstDash w14:val="solid"/>
            <w14:miter w14:lim="400000"/>
          </w14:textOutline>
        </w:rPr>
      </w:r>
    </w:p>
    <w:p>
      <w:pPr>
        <w:pStyle w:val="Normal"/>
        <w:jc w:val="both"/>
        <w:rPr>
          <w:b/>
          <w:bCs/>
          <w:i/>
          <w:i/>
          <w:iCs/>
          <w:kern w:val="2"/>
          <w:sz w:val="20"/>
          <w:szCs w:val="20"/>
          <w:lang w:val="ru-RU"/>
        </w:rPr>
      </w:pPr>
      <w:r>
        <w:rPr>
          <w:b/>
          <w:bCs/>
          <w:i/>
          <w:iCs/>
          <w:kern w:val="2"/>
          <w:sz w:val="20"/>
          <w:szCs w:val="20"/>
          <w:lang w:val="ru-RU"/>
        </w:rPr>
      </w:r>
    </w:p>
    <w:p>
      <w:pPr>
        <w:pStyle w:val="Normal"/>
        <w:jc w:val="both"/>
        <w:rPr>
          <w:b/>
          <w:bCs/>
          <w:i/>
          <w:i/>
          <w:iCs/>
          <w:kern w:val="2"/>
          <w:sz w:val="20"/>
          <w:szCs w:val="20"/>
          <w:lang w:val="ru-RU"/>
        </w:rPr>
      </w:pPr>
      <w:r>
        <w:rPr>
          <w:b/>
          <w:bCs/>
          <w:i/>
          <w:iCs/>
          <w:kern w:val="2"/>
          <w:sz w:val="20"/>
          <w:szCs w:val="20"/>
          <w:lang w:val="ru-RU"/>
        </w:rPr>
        <w:t>Справочно:</w:t>
      </w:r>
      <w:bookmarkStart w:id="1" w:name="_GoBack"/>
      <w:bookmarkEnd w:id="1"/>
    </w:p>
    <w:p>
      <w:pPr>
        <w:pStyle w:val="A"/>
        <w:spacing w:lineRule="auto" w:line="240" w:before="120" w:after="120"/>
        <w:rPr>
          <w:rFonts w:ascii="Times New Roman" w:hAnsi="Times New Roman"/>
          <w:i/>
          <w:i/>
          <w:iCs/>
          <w:sz w:val="20"/>
          <w:szCs w:val="20"/>
          <w14:textOutline w14:w="0" w14:cap="flat" w14:cmpd="sng" w14:algn="ctr">
            <w14:noFill/>
            <w14:prstDash w14:val="solid"/>
            <w14:bevel/>
          </w14:textOutline>
        </w:rPr>
      </w:pPr>
      <w:r>
        <w:rPr>
          <w:rFonts w:ascii="Times New Roman" w:hAnsi="Times New Roman"/>
          <w:b/>
          <w:i/>
          <w:iCs/>
          <w:sz w:val="20"/>
          <w:szCs w:val="20"/>
          <w14:textOutline w14:w="0" w14:cap="flat" w14:cmpd="sng" w14:algn="ctr">
            <w14:noFill/>
            <w14:prstDash w14:val="solid"/>
            <w14:bevel/>
          </w14:textOutline>
        </w:rPr>
        <w:t>АО «Почта России»</w:t>
      </w:r>
      <w:r>
        <w:rPr>
          <w:rFonts w:ascii="Times New Roman" w:hAnsi="Times New Roman"/>
          <w:i/>
          <w:iCs/>
          <w:sz w:val="20"/>
          <w:szCs w:val="20"/>
          <w14:textOutline w14:w="0" w14:cap="flat" w14:cmpd="sng" w14:algn="ctr">
            <w14:noFill/>
            <w14:prstDash w14:val="solid"/>
            <w14:bevel/>
          </w14:textOutline>
        </w:rPr>
        <w:t xml:space="preserve"> — крупнейший федеральный почтовый и логистический оператор страны, входит в перечень стратегических предприятий Российской Федерации. Седьмая крупнейшая компания в мире по количеству отделений обслуживания клиентов — свыше 38 000 точек, порядка 66% из которых находятся в малых населенных пунктах. Среднемесячная протяженность логистических маршрутов Почты составляет 64 млн километров. </w:t>
      </w:r>
    </w:p>
    <w:p>
      <w:pPr>
        <w:pStyle w:val="A"/>
        <w:spacing w:lineRule="auto" w:line="240" w:before="120" w:after="120"/>
        <w:rPr>
          <w:rFonts w:ascii="Times New Roman" w:hAnsi="Times New Roman"/>
          <w:i/>
          <w:i/>
          <w:iCs/>
          <w:sz w:val="20"/>
          <w:szCs w:val="20"/>
          <w14:textOutline w14:w="0" w14:cap="flat" w14:cmpd="sng" w14:algn="ctr">
            <w14:noFill/>
            <w14:prstDash w14:val="solid"/>
            <w14:bevel/>
          </w14:textOutline>
        </w:rPr>
      </w:pPr>
      <w:r>
        <w:rPr>
          <w:rFonts w:ascii="Times New Roman" w:hAnsi="Times New Roman"/>
          <w:i/>
          <w:iCs/>
          <w:sz w:val="20"/>
          <w:szCs w:val="20"/>
          <w14:textOutline w14:w="0" w14:cap="flat" w14:cmpd="sng" w14:algn="ctr">
            <w14:noFill/>
            <w14:prstDash w14:val="solid"/>
            <w14:bevel/>
          </w14:textOutline>
        </w:rPr>
        <w:t>Ежегодно Почта России принимает около 2,3 млрд бумажных отправлений и обрабатывает около 200 млн посылок. Компания помогает переводить юридически значимую переписку в цифровой формат — в 2025 г. Почта доставила порядка 380 млн писем в электронном и гибридном формате.</w:t>
      </w:r>
    </w:p>
    <w:p>
      <w:pPr>
        <w:pStyle w:val="A"/>
        <w:spacing w:lineRule="auto" w:line="240" w:before="120" w:after="120"/>
        <w:rPr>
          <w:rFonts w:ascii="Times New Roman" w:hAnsi="Times New Roman"/>
          <w:i/>
          <w:i/>
          <w:iCs/>
          <w:sz w:val="20"/>
          <w:szCs w:val="20"/>
          <w14:textOutline w14:w="0" w14:cap="flat" w14:cmpd="sng" w14:algn="ctr">
            <w14:noFill/>
            <w14:prstDash w14:val="solid"/>
            <w14:bevel/>
          </w14:textOutline>
        </w:rPr>
      </w:pPr>
      <w:r>
        <w:rPr>
          <w:rFonts w:ascii="Times New Roman" w:hAnsi="Times New Roman"/>
          <w:i/>
          <w:iCs/>
          <w:sz w:val="20"/>
          <w:szCs w:val="20"/>
          <w14:textOutline w14:w="0" w14:cap="flat" w14:cmpd="sng" w14:algn="ctr">
            <w14:noFill/>
            <w14:prstDash w14:val="solid"/>
            <w14:bevel/>
          </w14:textOutline>
        </w:rPr>
        <w:t>С 2015 г. государство не предоставляет компании меры поддержки,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w:t>
      </w:r>
    </w:p>
    <w:p>
      <w:pPr>
        <w:pStyle w:val="A"/>
        <w:spacing w:lineRule="auto" w:line="240" w:before="120" w:after="120"/>
        <w:rPr>
          <w:rFonts w:ascii="Times New Roman" w:hAnsi="Times New Roman"/>
          <w:i/>
          <w:i/>
          <w:iCs/>
          <w:sz w:val="20"/>
          <w:szCs w:val="20"/>
          <w14:textOutline w14:w="0" w14:cap="flat" w14:cmpd="sng" w14:algn="ctr">
            <w14:noFill/>
            <w14:prstDash w14:val="solid"/>
            <w14:bevel/>
          </w14:textOutline>
        </w:rPr>
      </w:pPr>
      <w:r>
        <w:rPr>
          <w:rFonts w:ascii="Times New Roman" w:hAnsi="Times New Roman"/>
          <w:i/>
          <w:iCs/>
          <w:sz w:val="20"/>
          <w:szCs w:val="20"/>
          <w14:textOutline w14:w="0" w14:cap="flat" w14:cmpd="sng" w14:algn="ctr">
            <w14:noFill/>
            <w14:prstDash w14:val="solid"/>
            <w14:bevel/>
          </w14:textOutline>
        </w:rPr>
        <w:t>Почтово-логистический оператор следит за сохранностью всех отправлений, включая онлайн-заказы. На октябрь 2025 г. этот показатель достигает 99,99%.</w:t>
      </w:r>
      <w:bookmarkStart w:id="2" w:name="_Hlk219109036"/>
      <w:bookmarkEnd w:id="2"/>
    </w:p>
    <w:p>
      <w:pPr>
        <w:pStyle w:val="A"/>
        <w:spacing w:lineRule="auto" w:line="240"/>
        <w:rPr>
          <w:rFonts w:ascii="Times New Roman" w:hAnsi="Times New Roman" w:eastAsia="Times New Roman" w:cs="Times New Roman"/>
          <w:i/>
          <w:i/>
          <w:iCs/>
          <w:sz w:val="20"/>
          <w:szCs w:val="20"/>
          <w:shd w:fill="FFFFFF" w:val="clear"/>
        </w:rPr>
      </w:pPr>
      <w:r>
        <w:rPr>
          <w:rFonts w:eastAsia="Times New Roman" w:cs="Times New Roman" w:ascii="Times New Roman" w:hAnsi="Times New Roman"/>
          <w:i/>
          <w:iCs/>
          <w:sz w:val="20"/>
          <w:szCs w:val="20"/>
          <w:shd w:fill="FFFFFF" w:val="clear"/>
        </w:rPr>
      </w:r>
    </w:p>
    <w:p>
      <w:pPr>
        <w:pStyle w:val="Normal"/>
        <w:spacing w:lineRule="auto" w:line="360" w:before="0" w:after="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Пресс-служба АО «Почта России»</w:t>
      </w:r>
    </w:p>
    <w:p>
      <w:pPr>
        <w:pStyle w:val="Normal"/>
        <w:spacing w:lineRule="auto" w:line="360" w:before="0" w:after="0"/>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Александра Овдина</w:t>
      </w:r>
    </w:p>
    <w:p>
      <w:pPr>
        <w:pStyle w:val="Normal"/>
        <w:spacing w:lineRule="auto" w:line="360" w:before="0" w:after="0"/>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Раб. +7 (391) 219-17-60 доб. 6631</w:t>
      </w:r>
    </w:p>
    <w:p>
      <w:pPr>
        <w:pStyle w:val="Normal"/>
        <w:spacing w:lineRule="auto" w:line="360" w:before="0" w:after="0"/>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Тел. +7 (908) 213-11-10</w:t>
      </w:r>
    </w:p>
    <w:p>
      <w:pPr>
        <w:pStyle w:val="Normal"/>
        <w:spacing w:lineRule="auto" w:line="360" w:before="0" w:after="0"/>
        <w:jc w:val="both"/>
        <w:rPr/>
      </w:pPr>
      <w:hyperlink r:id="rId3">
        <w:bookmarkStart w:id="3" w:name="_GoBack_Копия_1_Копия_1"/>
        <w:bookmarkStart w:id="4" w:name="_Hlk219109036_Копия_1_Копия_1"/>
        <w:bookmarkStart w:id="5" w:name="_Hlk219109036_Копия_1_Копия_1_Копия_1"/>
        <w:bookmarkStart w:id="6" w:name="_GoBack_Копия_1"/>
        <w:bookmarkStart w:id="7" w:name="_Hlk219109036_Копия_1"/>
        <w:bookmarkEnd w:id="3"/>
        <w:bookmarkEnd w:id="4"/>
        <w:bookmarkEnd w:id="5"/>
        <w:bookmarkEnd w:id="6"/>
        <w:bookmarkEnd w:id="7"/>
        <w:r>
          <w:rPr>
            <w:rStyle w:val="Hyperlink"/>
            <w:rFonts w:eastAsia="Times New Roman"/>
            <w:sz w:val="24"/>
            <w:szCs w:val="24"/>
          </w:rPr>
          <w:t>Ovdina-A@russianpost.ru</w:t>
        </w:r>
      </w:hyperlink>
    </w:p>
    <w:p>
      <w:pPr>
        <w:pStyle w:val="Normal"/>
        <w:spacing w:lineRule="auto" w:line="360" w:before="0" w:after="0"/>
        <w:jc w:val="both"/>
        <w:rPr>
          <w:rStyle w:val="Hyperlink"/>
          <w:rFonts w:eastAsia="Times New Roman"/>
          <w:sz w:val="24"/>
          <w:szCs w:val="24"/>
        </w:rPr>
      </w:pPr>
      <w:r>
        <w:rPr/>
      </w:r>
    </w:p>
    <w:p>
      <w:pPr>
        <w:pStyle w:val="Normal"/>
        <w:spacing w:lineRule="auto" w:line="288"/>
        <w:jc w:val="both"/>
        <w:rPr>
          <w:b/>
          <w:bCs/>
          <w:lang w:val="ru-RU"/>
        </w:rPr>
      </w:pPr>
      <w:r>
        <w:rPr/>
      </w:r>
    </w:p>
    <w:p>
      <w:pPr>
        <w:pStyle w:val="A"/>
        <w:spacing w:lineRule="auto" w:line="24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 w:name="Helvetica Neue">
    <w:charset w:val="01"/>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cs="Arial Unicode MS" w:ascii="Times New Roman" w:hAnsi="Times New Roman" w:eastAsia="Arial Unicode MS"/>
      <w:color w:val="000000"/>
      <w:kern w:val="0"/>
      <w:sz w:val="24"/>
      <w:szCs w:val="24"/>
      <w:u w:val="none" w:color="000000"/>
      <w:lang w:val="en-US" w:eastAsia="ru-RU"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Style14" w:customStyle="1">
    <w:name w:val="Ссылка"/>
    <w:qFormat/>
    <w:rPr>
      <w:outline w:val="false"/>
      <w:color w:val="0000FF"/>
      <w:u w:val="single" w:color="0000FF"/>
    </w:rPr>
  </w:style>
  <w:style w:type="character" w:styleId="Hyperlink0" w:customStyle="1">
    <w:name w:val="Hyperlink.0"/>
    <w:basedOn w:val="Style14"/>
    <w:qFormat/>
    <w:rPr>
      <w:outline w:val="false"/>
      <w:color w:val="000000"/>
      <w:u w:val="single" w:color="000000"/>
      <w:lang w:val="en-US"/>
    </w:rPr>
  </w:style>
  <w:style w:type="character" w:styleId="Hyperlink1" w:customStyle="1">
    <w:name w:val="Hyperlink.1"/>
    <w:basedOn w:val="Style14"/>
    <w:qFormat/>
    <w:rPr>
      <w:rFonts w:ascii="Times New Roman" w:hAnsi="Times New Roman" w:eastAsia="Times New Roman" w:cs="Times New Roman"/>
      <w:outline w:val="false"/>
      <w:color w:val="000000"/>
      <w:sz w:val="24"/>
      <w:szCs w:val="24"/>
      <w:u w:val="single" w:color="000000"/>
      <w:lang w:val="en-US"/>
      <w14:textOutline w14:w="0" w14:cap="flat" w14:cmpd="sng" w14:algn="ctr">
        <w14:noFill/>
        <w14:prstDash w14:val="solid"/>
        <w14:bevel/>
      </w14:textOutline>
    </w:rPr>
  </w:style>
  <w:style w:type="character" w:styleId="FollowedHyperlink">
    <w:name w:val="FollowedHyperlink"/>
    <w:rPr>
      <w:color w:val="954F72"/>
      <w:u w:val="single"/>
    </w:rPr>
  </w:style>
  <w:style w:type="paragraph" w:styleId="Style15">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6">
    <w:name w:val="Указатель"/>
    <w:basedOn w:val="Normal"/>
    <w:qFormat/>
    <w:pPr>
      <w:suppressLineNumbers/>
    </w:pPr>
    <w:rPr>
      <w:rFonts w:cs="Noto Sans"/>
    </w:rPr>
  </w:style>
  <w:style w:type="paragraph" w:styleId="Style17" w:customStyle="1">
    <w:name w:val="Колонтитулы"/>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ru-RU" w:eastAsia="ru-RU" w:bidi="ar-SA"/>
      <w14:textOutline w14:w="0" w14:cap="flat" w14:cmpd="sng" w14:algn="ctr">
        <w14:noFill/>
        <w14:prstDash w14:val="solid"/>
        <w14:bevel/>
      </w14:textOutline>
    </w:rPr>
  </w:style>
  <w:style w:type="paragraph" w:styleId="A" w:customStyle="1">
    <w:name w:val="Основной текст A"/>
    <w:qFormat/>
    <w:pPr>
      <w:widowControl/>
      <w:pBdr/>
      <w:bidi w:val="0"/>
      <w:spacing w:lineRule="auto" w:line="276" w:before="0" w:after="0"/>
      <w:jc w:val="left"/>
    </w:pPr>
    <w:rPr>
      <w:rFonts w:ascii="Arial" w:hAnsi="Arial" w:cs="Arial Unicode MS" w:eastAsia="Arial Unicode MS"/>
      <w:color w:val="000000"/>
      <w:kern w:val="0"/>
      <w:sz w:val="22"/>
      <w:szCs w:val="22"/>
      <w:u w:val="none" w:color="000000"/>
      <w:lang w:val="ru-RU" w:eastAsia="ru-RU" w:bidi="ar-SA"/>
      <w14:textOutline w14:w="12700" w14:cap="flat" w14:cmpd="sng" w14:algn="ctr">
        <w14:noFill/>
        <w14:prstDash w14:val="solid"/>
        <w14:miter w14:lim="400000"/>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Ovdina-A@russianpost.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528B-C78F-4D3C-9CEF-EDF44097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LibreOffice/24.8.5.2$Linux_X86_64 LibreOffice_project/480$Build-2</Application>
  <AppVersion>15.0000</AppVersion>
  <Pages>2</Pages>
  <Words>289</Words>
  <Characters>2027</Characters>
  <CharactersWithSpaces>2398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2026-06-10T08:35:00Z</dcterms:created>
  <dc:creator>Воробьева Анна Юрьевна</dc:creator>
  <dc:description/>
  <dc:language>ru-RU</dc:language>
  <cp:lastModifiedBy/>
  <dcterms:modified xsi:type="dcterms:W3CDTF">2026-06-22T09:27:40Z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