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96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07"/>
        <w:gridCol w:w="2488"/>
      </w:tblGrid>
      <w:tr>
        <w:trPr>
          <w:trHeight w:val="1719" w:hRule="atLeast"/>
        </w:trPr>
        <w:tc>
          <w:tcPr>
            <w:tcW w:w="7007" w:type="dxa"/>
            <w:tcBorders/>
          </w:tcPr>
          <w:p>
            <w:pPr>
              <w:pStyle w:val="Normal"/>
              <w:widowControl w:val="false"/>
              <w:spacing w:lineRule="auto" w:line="254"/>
              <w:jc w:val="both"/>
              <w:rPr>
                <w:rFonts w:ascii="Times New Roman" w:hAnsi="Times New Roman" w:eastAsia="Times New Roman" w:cs="Times New Roman"/>
                <w:color w:val="0000E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E6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spacing w:lineRule="auto" w:line="254"/>
              <w:jc w:val="both"/>
              <w:rPr>
                <w:rFonts w:ascii="Times New Roman" w:hAnsi="Times New Roman" w:eastAsia="Times New Roman" w:cs="Times New Roman"/>
                <w:color w:val="0000E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E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4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54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lang w:eastAsia="ru-RU"/>
              </w:rPr>
              <w:t>ПРЕСС-РЕЛИЗ</w:t>
            </w:r>
          </w:p>
          <w:p>
            <w:pPr>
              <w:pStyle w:val="Normal"/>
              <w:widowControl w:val="false"/>
              <w:spacing w:lineRule="auto" w:line="254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37465" distL="0" distR="27305" simplePos="0" locked="0" layoutInCell="1" allowOverlap="1" relativeHeight="3" wp14:anchorId="397CEC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3335"/>
                      <wp:wrapNone/>
                      <wp:docPr id="1" name="Прямая соедините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2" stroked="t" o:allowincell="f" style="position:absolute;flip:x" wp14:anchorId="397CEC17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lang w:eastAsia="ru-RU"/>
              </w:rPr>
              <w:t>8 июня 2026</w:t>
            </w:r>
          </w:p>
        </w:tc>
        <w:tc>
          <w:tcPr>
            <w:tcW w:w="2488" w:type="dxa"/>
            <w:tcBorders/>
          </w:tcPr>
          <w:p>
            <w:pPr>
              <w:pStyle w:val="Normal"/>
              <w:widowControl w:val="false"/>
              <w:spacing w:lineRule="auto" w:line="254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897890" cy="906145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06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b/>
          <w:i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Почта России повышает уровень гарантий отправителей: запуск услуги «Защита посылок»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Почта России запустила новую услугу «Защита посылок» для писем и отправлений 1-го класса и «Стандарт». Теперь клиенты компании могут подтвердить надёжность доставки отправления благодаря сервисной услуге страхования сроков.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  <w:t xml:space="preserve">Сервисная услуга страхования сроков доставки, а также возврата посылок позволяет клиентам компании компенсировать расходы в случае задержки контрольного срока пересылки более чем на 3 дня, или если посылка возвращается отправителю.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таких случаях отправителю компенсируют до 2 000 руб. — в эту сумму входит стоимость пересылки и расходы на обратную доставку, если посылку вернули по любой причине. Клиенты могут подключить услугу при оформлении отправления в почтовом отделении.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i/>
          <w:sz w:val="24"/>
          <w:szCs w:val="24"/>
        </w:rPr>
        <w:t>«Почта России несёт перед отправителями ответственность за соблюдение контрольных сроков доставки — в том числе и финансовую. Если отправление задерживается, мы выплачиваем компенсацию, чтобы наши клиенты могли избежать финансовых рисков»,</w:t>
      </w:r>
      <w:r>
        <w:rPr>
          <w:rFonts w:cs="Times New Roman" w:ascii="Times New Roman" w:hAnsi="Times New Roman"/>
          <w:sz w:val="24"/>
          <w:szCs w:val="24"/>
        </w:rPr>
        <w:t xml:space="preserve"> — отметил директор по развитию продуктов и сервисов Почты России </w:t>
      </w:r>
      <w:r>
        <w:rPr>
          <w:rFonts w:cs="Times New Roman" w:ascii="Times New Roman" w:hAnsi="Times New Roman"/>
          <w:b/>
          <w:sz w:val="24"/>
          <w:szCs w:val="24"/>
        </w:rPr>
        <w:t>Антон Нечаев.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Cs/>
          <w:sz w:val="24"/>
          <w:szCs w:val="24"/>
        </w:rPr>
        <w:t xml:space="preserve">Также недавно Почта России запустила аналогичную услугу для писем 1-го класса, </w:t>
      </w:r>
      <w:r>
        <w:rPr>
          <w:rFonts w:cs="Times New Roman" w:ascii="Times New Roman" w:hAnsi="Times New Roman"/>
          <w:sz w:val="24"/>
          <w:szCs w:val="24"/>
        </w:rPr>
        <w:t>писем с объявленной ценностью и с наложенным платежом.</w:t>
      </w:r>
      <w:r>
        <w:rPr>
          <w:rFonts w:cs="Times New Roman" w:ascii="Times New Roman" w:hAnsi="Times New Roman"/>
          <w:bCs/>
          <w:sz w:val="24"/>
          <w:szCs w:val="24"/>
        </w:rPr>
        <w:t xml:space="preserve"> П</w:t>
      </w:r>
      <w:r>
        <w:rPr>
          <w:rFonts w:cs="Times New Roman" w:ascii="Times New Roman" w:hAnsi="Times New Roman"/>
          <w:sz w:val="24"/>
          <w:szCs w:val="24"/>
        </w:rPr>
        <w:t xml:space="preserve">ри задержке пересылки письма более чем на сутки отправителю возвращается половина потраченной суммы. В случае задержки более двух суток компенсируется вся стоимость отправки. Максимальная сумма возмещения — 1 000 руб.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b/>
          <w:i/>
          <w:sz w:val="20"/>
          <w:szCs w:val="20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Times New Roman" w:cs="Times New Roman"/>
          <w:i/>
          <w:i/>
          <w:color w:val="000000"/>
          <w:sz w:val="20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0"/>
        </w:rPr>
        <w:t>АО «Почта России»</w:t>
      </w:r>
      <w:r>
        <w:rPr>
          <w:rFonts w:eastAsia="Times New Roman" w:cs="Times New Roman" w:ascii="Times New Roman" w:hAnsi="Times New Roman"/>
          <w:i/>
          <w:color w:val="000000"/>
          <w:sz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</w:t>
      </w:r>
      <w:r>
        <w:rPr>
          <w:rFonts w:cs="Times New Roman" w:ascii="Times New Roman" w:hAnsi="Times New Roman"/>
          <w:i/>
          <w:color w:val="000000"/>
          <w:sz w:val="20"/>
          <w:shd w:fill="FFFFFF" w:val="clear"/>
        </w:rPr>
        <w:t>из которых находятся в сельской местности, в том числе на удаленных и труднодоступных территориях</w:t>
      </w:r>
      <w:r>
        <w:rPr>
          <w:rFonts w:eastAsia="Times New Roman" w:cs="Times New Roman" w:ascii="Times New Roman" w:hAnsi="Times New Roman"/>
          <w:i/>
          <w:color w:val="000000"/>
          <w:sz w:val="20"/>
        </w:rPr>
        <w:t xml:space="preserve">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Times New Roman" w:cs="Times New Roman"/>
          <w:i/>
          <w:i/>
          <w:color w:val="000000"/>
          <w:sz w:val="20"/>
        </w:rPr>
      </w:pPr>
      <w:r>
        <w:rPr>
          <w:rFonts w:eastAsia="Times New Roman" w:cs="Times New Roman" w:ascii="Times New Roman" w:hAnsi="Times New Roman"/>
          <w:i/>
          <w:color w:val="000000"/>
          <w:sz w:val="20"/>
        </w:rPr>
        <w:t>Ежегодно Почта России принимает около 2,1 млрд бумажных отправлений и обрабатывает около 160 млн посылок. Компания помогает переводить юридически значимую переписку в цифровой формат — в 2025 г. Почта доставила порядка 380 млн писем в электронном и гибридном формате.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Times New Roman" w:cs="Times New Roman"/>
          <w:i/>
          <w:i/>
          <w:color w:val="000000"/>
          <w:sz w:val="20"/>
        </w:rPr>
      </w:pPr>
      <w:r>
        <w:rPr>
          <w:rFonts w:eastAsia="Times New Roman" w:cs="Times New Roman" w:ascii="Times New Roman" w:hAnsi="Times New Roman"/>
          <w:i/>
          <w:color w:val="000000"/>
          <w:sz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2" w:name="_Hlk219109036"/>
        <w:bookmarkStart w:id="3" w:name="_GoBack_Копия_1"/>
        <w:bookmarkStart w:id="4" w:name="_Hlk219109036_Копия_1_Копия_1_Копия_1"/>
        <w:bookmarkStart w:id="5" w:name="_Hlk219109036_Копия_1_Копия_1"/>
        <w:bookmarkStart w:id="6" w:name="_GoBack_Копия_1_Копия_1"/>
        <w:bookmarkEnd w:id="2"/>
        <w:bookmarkEnd w:id="3"/>
        <w:bookmarkEnd w:id="4"/>
        <w:bookmarkEnd w:id="5"/>
        <w:bookmarkEnd w:id="6"/>
        <w:r>
          <w:rPr>
            <w:rStyle w:val="Hyperlink"/>
            <w:rFonts w:eastAsia="Times New Roman"/>
            <w:b/>
            <w:bCs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5e18"/>
    <w:pPr>
      <w:widowControl/>
      <w:suppressAutoHyphens w:val="true"/>
      <w:bidi w:val="0"/>
      <w:spacing w:lineRule="auto" w:line="240"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95e18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915ec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e4f37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5e4f37"/>
    <w:rPr>
      <w:rFonts w:cs="Calibri"/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e4f37"/>
    <w:rPr>
      <w:rFonts w:cs="Calibri"/>
      <w:b/>
      <w:bCs/>
      <w:sz w:val="20"/>
      <w:szCs w:val="20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915ec6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Style14"/>
    <w:uiPriority w:val="99"/>
    <w:semiHidden/>
    <w:unhideWhenUsed/>
    <w:rsid w:val="005e4f3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5e4f37"/>
    <w:pPr/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LibreOffice/24.8.5.2$Linux_X86_64 LibreOffice_project/480$Build-2</Application>
  <AppVersion>15.0000</AppVersion>
  <Pages>2</Pages>
  <Words>338</Words>
  <Characters>2231</Characters>
  <CharactersWithSpaces>2580</CharactersWithSpaces>
  <Paragraphs>18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2026-06-05T14:50:00Z</dcterms:created>
  <dc:creator>Назарова Ольга Николаевна</dc:creator>
  <dc:description/>
  <dc:language>ru-RU</dc:language>
  <cp:lastModifiedBy/>
  <dcterms:modified xsi:type="dcterms:W3CDTF">2026-06-08T15:03:23Z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