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Arial Unicode MS" w:cs="Times New Roman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4 июня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D568E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D568E6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pacing w:lineRule="auto" w:line="256" w:beforeAutospacing="0" w:before="0" w:after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Start w:id="0" w:name="_GoBack"/>
      <w:bookmarkEnd w:id="0"/>
      <w:r>
        <w:rPr>
          <w:rStyle w:val="Strong"/>
          <w:rFonts w:cs="Times New Roman" w:ascii="Times New Roman" w:hAnsi="Times New Roman"/>
          <w:color w:val="000000"/>
          <w:sz w:val="28"/>
          <w:szCs w:val="28"/>
          <w:shd w:fill="FFFFFF" w:val="clear"/>
        </w:rPr>
        <w:t>Почтовые посылки из США снова идут в Россию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Отправления из США теперь можно получать Почтой России. Операторы двух стран в конце мая восстановили почтовый импорт в РФ, приостановленный в 2022 г.</w:t>
      </w:r>
    </w:p>
    <w:p>
      <w:pPr>
        <w:pStyle w:val="NormalWeb"/>
        <w:shd w:val="clear" w:color="auto" w:fill="FFFFFF"/>
        <w:spacing w:before="280" w:after="280"/>
        <w:jc w:val="both"/>
        <w:rPr/>
      </w:pPr>
      <w:r>
        <w:rPr/>
        <w:t>Первая партия отправлений уже прибыла в РФ. Доставка осуществляется транзитными рейсами через третьи страны на базе существующих логистических решений.</w:t>
      </w:r>
    </w:p>
    <w:p>
      <w:pPr>
        <w:pStyle w:val="NormalWeb"/>
        <w:shd w:val="clear" w:color="auto" w:fill="FFFFFF"/>
        <w:spacing w:before="280" w:after="280"/>
        <w:jc w:val="both"/>
        <w:rPr/>
      </w:pPr>
      <w:r>
        <w:rPr/>
        <w:t>Направление исторически является одним из значимых для клиентов Почты: ранее почтовый импорт из США составлял более 50 т в месяц. В основном это товары электронной коммерции — одежда, обувь, электроника, БАДы.</w:t>
      </w:r>
    </w:p>
    <w:p>
      <w:pPr>
        <w:pStyle w:val="NormalWeb"/>
        <w:shd w:val="clear" w:color="auto" w:fill="FFFFFF"/>
        <w:spacing w:before="280" w:after="28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Также США неизменно занимали первое место по объёмам экспортных отправлений в 2024-2025 гг. В прошлом году на страну приходилась пятая часть всех объёмов экспорта. В конце 2025 г. Почта России возобновила приём отправлений в США в категориях «Подарок», «Документы» и «Коммерческий образец», приостановленный ранее в связи с отменой беспошлинного режима.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 Почтой России можно отправлять корреспонденцию и посылки в 163 страны: государства ближнего зарубежья, Китая, Юго-Восточной Азии, Латинской Америки, США, Европы, Ближнего Востока и Африки.</w:t>
      </w:r>
    </w:p>
    <w:p>
      <w:pPr>
        <w:pStyle w:val="NormalWeb"/>
        <w:spacing w:lineRule="auto" w:line="256" w:beforeAutospacing="0" w:before="0" w:afterAutospacing="0" w:after="160"/>
        <w:jc w:val="both"/>
        <w:rPr>
          <w:b/>
          <w:i/>
          <w:i/>
          <w:kern w:val="2"/>
          <w:sz w:val="20"/>
          <w:szCs w:val="20"/>
          <w14:ligatures w14:val="standardContextual"/>
        </w:rPr>
      </w:pPr>
      <w:r>
        <w:rPr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i/>
          <w:iCs/>
          <w:color w:val="000000"/>
          <w:sz w:val="20"/>
          <w:szCs w:val="20"/>
        </w:rPr>
        <w:t>—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  <w:bookmarkEnd w:id="1"/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2" w:name="_GoBack"/>
        <w:bookmarkStart w:id="3" w:name="_GoBack_Копия_1_Копия_1"/>
        <w:bookmarkStart w:id="4" w:name="_Hlk219109036_Копия_1_Копия_1"/>
        <w:bookmarkStart w:id="5" w:name="_Hlk219109036_Копия_1_Копия_1_Копия_1"/>
        <w:bookmarkStart w:id="6" w:name="_GoBack_Копия_1"/>
        <w:bookmarkStart w:id="7" w:name="_Hlk219109036"/>
        <w:bookmarkEnd w:id="2"/>
        <w:bookmarkEnd w:id="3"/>
        <w:bookmarkEnd w:id="4"/>
        <w:bookmarkEnd w:id="5"/>
        <w:bookmarkEnd w:id="6"/>
        <w:bookmarkEnd w:id="7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af78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1b1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1b1a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81b1a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81b1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43911"/>
    <w:rPr>
      <w:b/>
      <w:bCs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b977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481b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81b1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81b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2529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bd42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LibreOffice/24.8.5.2$Linux_X86_64 LibreOffice_project/480$Build-2</Application>
  <AppVersion>15.0000</AppVersion>
  <Pages>1</Pages>
  <Words>281</Words>
  <Characters>1804</Characters>
  <CharactersWithSpaces>2165</CharactersWithSpaces>
  <Paragraphs>18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2026-06-02T15:24:00Z</dcterms:created>
  <dc:creator>Воробьева Анна Юрьевна</dc:creator>
  <dc:description/>
  <dc:language>ru-RU</dc:language>
  <cp:lastModifiedBy/>
  <cp:lastPrinted>2026-06-02T13:49:00Z</cp:lastPrinted>
  <dcterms:modified xsi:type="dcterms:W3CDTF">2026-06-04T13:34:11Z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