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2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9 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мая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hd w:val="clear" w:color="auto" w:fill="FFFFFF"/>
        <w:spacing w:lineRule="auto" w:line="240" w:before="0" w:after="7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От Калининграда до Владивостока: Почта России расширяет </w:t>
        <w:br/>
        <w:t>палетную доставку</w:t>
      </w:r>
    </w:p>
    <w:p>
      <w:pPr>
        <w:pStyle w:val="Normal"/>
        <w:shd w:val="clear" w:color="auto" w:fill="FFFFFF"/>
        <w:spacing w:lineRule="auto" w:line="240" w:before="0" w:after="75"/>
        <w:rPr>
          <w:rFonts w:ascii="Times New Roman" w:hAnsi="Times New Roman"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Почта масштабирует географию палетной доставки.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Теперь отправить крупную партию товара можно из </w:t>
      </w:r>
      <w:r>
        <w:rPr>
          <w:rStyle w:val="Strong"/>
          <w:rFonts w:cs="Times New Roman" w:ascii="Times New Roman" w:hAnsi="Times New Roman"/>
          <w:bCs w:val="false"/>
          <w:color w:val="000000"/>
          <w:sz w:val="24"/>
          <w:szCs w:val="24"/>
          <w:shd w:fill="FFFFFF" w:val="clear"/>
        </w:rPr>
        <w:t>53 городов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— от самой западной точки России до самой восточной — в более чем </w:t>
      </w:r>
      <w:r>
        <w:rPr>
          <w:rStyle w:val="Strong"/>
          <w:rFonts w:cs="Times New Roman" w:ascii="Times New Roman" w:hAnsi="Times New Roman"/>
          <w:bCs w:val="false"/>
          <w:color w:val="000000"/>
          <w:sz w:val="24"/>
          <w:szCs w:val="24"/>
          <w:shd w:fill="FFFFFF" w:val="clear"/>
        </w:rPr>
        <w:t>100 городов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страны.</w:t>
      </w:r>
    </w:p>
    <w:p>
      <w:pPr>
        <w:pStyle w:val="NormalWeb"/>
        <w:spacing w:before="280" w:after="280"/>
        <w:jc w:val="both"/>
        <w:rPr>
          <w:bCs/>
          <w:iCs/>
        </w:rPr>
      </w:pPr>
      <w:r>
        <w:rPr>
          <w:bCs/>
          <w:iCs/>
        </w:rPr>
        <w:t>Сервис, запущенный в июне 2025 г., уже помог более чем 40 корпоративным клиентам отправить грузы по России. География доставки продолжает расти: в ближайших планах — охватить города с населением до 100 000 человек, а затем — и до 50 000.</w:t>
      </w:r>
    </w:p>
    <w:p>
      <w:pPr>
        <w:pStyle w:val="NormalWeb"/>
        <w:spacing w:before="280" w:after="280"/>
        <w:jc w:val="both"/>
        <w:rPr>
          <w:bCs/>
          <w:iCs/>
        </w:rPr>
      </w:pPr>
      <w:r>
        <w:rPr>
          <w:bCs/>
          <w:iCs/>
        </w:rPr>
        <w:t xml:space="preserve">Палетная доставка предназначена для крупных отправлений весом от 31,5 до 500 кг с габаритами до 120*80*190 см. Можно сдавать грузы в специализированные пункты приёма или вызывать курьеров Почты, которые привезут их в сортировочный или логистический центр компании. Услуга включает и последнюю милю: в зависимости от потребностей клиента, отправления доставят на склад получателя или в распределительные центры, торговые сети, магазины, </w:t>
      </w:r>
      <w:r>
        <w:rPr>
          <w:iCs/>
        </w:rPr>
        <w:t>рассортируют</w:t>
      </w:r>
      <w:r>
        <w:rPr>
          <w:bCs/>
          <w:iCs/>
        </w:rPr>
        <w:t xml:space="preserve"> палеты и т. д.</w:t>
      </w:r>
    </w:p>
    <w:p>
      <w:pPr>
        <w:pStyle w:val="NormalWeb"/>
        <w:spacing w:before="280" w:after="280"/>
        <w:jc w:val="both"/>
        <w:rPr>
          <w:bCs/>
          <w:iCs/>
        </w:rPr>
      </w:pPr>
      <w:r>
        <w:rPr>
          <w:i/>
        </w:rPr>
        <w:t>«</w:t>
      </w:r>
      <w:r>
        <w:rPr>
          <w:i/>
          <w:color w:val="000000"/>
          <w:shd w:fill="FFFFFF" w:val="clear"/>
        </w:rPr>
        <w:t>Стартовав в прошлом году с нескольких городов, мы масштабируем доставку партий для бизнеса. Комплексный сервис бережной и быстрой палетной доставки появился как ответ на растущий запрос бизнес-клиентов по перевозкам сборных грузов и доставкам на склады маркетплейсов</w:t>
      </w:r>
      <w:r>
        <w:rPr>
          <w:i/>
        </w:rPr>
        <w:t xml:space="preserve">», </w:t>
      </w:r>
      <w:r>
        <w:rPr>
          <w:i/>
          <w:highlight w:val="white"/>
        </w:rPr>
        <w:t xml:space="preserve">— </w:t>
      </w:r>
      <w:r>
        <w:rPr>
          <w:highlight w:val="white"/>
        </w:rPr>
        <w:t xml:space="preserve">отметил директор по развитию продуктов и сервисов Почты России </w:t>
      </w:r>
      <w:r>
        <w:rPr>
          <w:b/>
          <w:highlight w:val="white"/>
        </w:rPr>
        <w:t>Антон Нечаев</w:t>
      </w:r>
      <w:r>
        <w:rPr>
          <w:b/>
        </w:rPr>
        <w:t>.</w:t>
      </w:r>
      <w:r>
        <w:rPr>
          <w:rFonts w:ascii="Roboto" w:hAnsi="Roboto"/>
          <w:color w:val="000000"/>
          <w:shd w:fill="FFFFFF" w:val="clear"/>
        </w:rPr>
        <w:t xml:space="preserve"> 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1" w:name="_GoBack"/>
        <w:bookmarkStart w:id="2" w:name="_Hlk219109036_Копия_1_Копия_1"/>
        <w:bookmarkStart w:id="3" w:name="_Hlk219109036_Копия_1_Копия_1_Копия_1"/>
        <w:bookmarkStart w:id="4" w:name="_GoBack_Копия_1"/>
        <w:bookmarkStart w:id="5" w:name="_Hlk219109036"/>
        <w:bookmarkEnd w:id="1"/>
        <w:bookmarkEnd w:id="2"/>
        <w:bookmarkEnd w:id="3"/>
        <w:bookmarkEnd w:id="4"/>
        <w:bookmarkEnd w:id="5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Robot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091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77091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77091b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7091b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2"/>
      <w:sz w:val="24"/>
      <w:szCs w:val="24"/>
      <w:lang w:eastAsia="zh-CN" w:val="ru-RU" w:bidi="ar-SA"/>
      <w14:ligatures w14:val="standardContextual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77091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77091b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7091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1419-AA28-4129-A162-8280DFE9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LibreOffice/24.8.5.2$Linux_X86_64 LibreOffice_project/480$Build-2</Application>
  <AppVersion>15.0000</AppVersion>
  <Pages>2</Pages>
  <Words>342</Words>
  <Characters>2182</Characters>
  <CharactersWithSpaces>2611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2026-05-21T10:09:00Z</dcterms:created>
  <dc:creator>Назарова Ольга Николаевна</dc:creator>
  <dc:description/>
  <dc:language>ru-RU</dc:language>
  <cp:lastModifiedBy/>
  <cp:lastPrinted>2026-05-13T07:44:00Z</cp:lastPrinted>
  <dcterms:modified xsi:type="dcterms:W3CDTF">2026-05-29T08:43:49Z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