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4"/>
        <w:gridCol w:w="2491"/>
      </w:tblGrid>
      <w:tr>
        <w:trPr>
          <w:trHeight w:val="1719" w:hRule="atLeast"/>
        </w:trPr>
        <w:tc>
          <w:tcPr>
            <w:tcW w:w="686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val="en-US" w:eastAsia="ru-RU"/>
              </w:rPr>
              <w:t>2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val="en-US" w:eastAsia="ru-RU"/>
              </w:rPr>
              <w:t>9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eastAsia="ru-RU"/>
              </w:rPr>
              <w:t xml:space="preserve"> мая 2026 </w:t>
            </w:r>
            <w:r>
              <mc:AlternateContent>
                <mc:Choice Requires="wps">
                  <w:drawing>
                    <wp:anchor behindDoc="0" distT="0" distB="19050" distL="0" distR="27305" simplePos="0" locked="0" layoutInCell="1" allowOverlap="1" relativeHeight="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4506595" cy="635"/>
                      <wp:effectExtent l="12700" t="12700" r="12700" b="1270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56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75pt" to="354.65pt,19.75pt" ID="Прямая соединительная линия 2" stroked="t" o:allowincell="f" style="position:absolute;flip:x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  <w:tc>
          <w:tcPr>
            <w:tcW w:w="2491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/>
                <w:b/>
                <w:color w:val="0918DD"/>
                <w:sz w:val="24"/>
                <w:szCs w:val="24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51435</wp:posOffset>
                  </wp:positionV>
                  <wp:extent cx="904875" cy="904875"/>
                  <wp:effectExtent l="0" t="0" r="0" b="0"/>
                  <wp:wrapThrough wrapText="bothSides">
                    <wp:wrapPolygon edited="0">
                      <wp:start x="-11" y="0"/>
                      <wp:lineTo x="-11" y="21363"/>
                      <wp:lineTo x="21364" y="21363"/>
                      <wp:lineTo x="21364" y="0"/>
                      <wp:lineTo x="-11" y="0"/>
                    </wp:wrapPolygon>
                  </wp:wrapThrough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</w:p>
        </w:tc>
      </w:tr>
    </w:tbl>
    <w:p>
      <w:pPr>
        <w:pStyle w:val="Normal"/>
        <w:numPr>
          <w:ilvl w:val="0"/>
          <w:numId w:val="0"/>
        </w:numPr>
        <w:shd w:fill="FFFFFF" w:val="clear"/>
        <w:spacing w:lineRule="atLeast" w:line="240" w:before="0" w:after="0"/>
        <w:jc w:val="both"/>
        <w:outlineLvl w:val="0"/>
        <w:rPr>
          <w:rFonts w:ascii="Times New Roman" w:hAnsi="Times New Roman" w:eastAsia="Times New Roman"/>
          <w:b/>
          <w:bCs/>
          <w:kern w:val="2"/>
          <w:sz w:val="32"/>
          <w:szCs w:val="32"/>
          <w:lang w:eastAsia="ru-RU"/>
        </w:rPr>
      </w:pPr>
      <w:r>
        <w:rPr>
          <w:rFonts w:eastAsia="Times New Roman" w:ascii="Times New Roman" w:hAnsi="Times New Roman"/>
          <w:b/>
          <w:bCs/>
          <w:kern w:val="2"/>
          <w:sz w:val="32"/>
          <w:szCs w:val="32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4"/>
        </w:rPr>
        <w:t>Почта России — в центре инфраструктуры села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 круглого стола «Инфраструктура села XXI века: инвестиции в будущее» обсудили развитие и потребности современных сёл, включая поддержание почтовой инфраструктуры. Во встрече приняли участие представители Почты России, Минцифры, Минсельхоза, Минтранспорта, региональных органов власти, сенаторы, главы муниципальных образований и предприниматели. Круглый стол прошёл в рамках всероссийского Форума тружеников села, проводимого под эгидой Совета Федерации.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Почта России в сельской местности обслуживает более 35 млн жителей, там расположено примерно две трети всех отделений. </w:t>
      </w:r>
      <w:r>
        <w:rPr>
          <w:rFonts w:ascii="Times New Roman" w:hAnsi="Times New Roman"/>
          <w:sz w:val="24"/>
          <w:szCs w:val="24"/>
        </w:rPr>
        <w:t xml:space="preserve">Масштабная программа модернизации почтовых отделений и инфраструктуры в сельской и труднодоступной местности началась в 2022 г. во исполнение поручения Президента России. </w:t>
      </w:r>
      <w:r>
        <w:rPr>
          <w:rFonts w:ascii="Times New Roman" w:hAnsi="Times New Roman"/>
          <w:bCs/>
          <w:sz w:val="24"/>
          <w:szCs w:val="24"/>
        </w:rPr>
        <w:t>За три года компания обновила 3 355 отделений, что обеспечило сотрудников комфортными условиями труда, а почти 8 млн сельских жителей — бесперебойной и качественной почтовой связью. Ещё более 3 000 отделений Почта отремонтировала за свой счёт и с привлечением поддержки региональных властей.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обновлённых сельских почтовых отделениях местные жители могут получить не только обычные услуги, вроде отправки писем и посылок, но и получить доступ к финансовым сервисам, государственным и региональным услугам, оплатить ЖКХ, налоги, совершить денежные переводы, получить заказанные на маркетплейсах товары, купить продукты и нелекарственные медицинские препараты и многое другое.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этом, отметила в выступлении директор Блока по внешним коммуникациям Почты России </w:t>
      </w:r>
      <w:r>
        <w:rPr>
          <w:rFonts w:ascii="Times New Roman" w:hAnsi="Times New Roman"/>
          <w:b/>
          <w:sz w:val="24"/>
          <w:szCs w:val="24"/>
        </w:rPr>
        <w:t xml:space="preserve">Екатерина Куманина, </w:t>
      </w:r>
      <w:r>
        <w:rPr>
          <w:rFonts w:ascii="Times New Roman" w:hAnsi="Times New Roman"/>
          <w:bCs/>
          <w:sz w:val="24"/>
          <w:szCs w:val="24"/>
        </w:rPr>
        <w:t xml:space="preserve">даже самому современному отделению нужны сотрудники, а в сельской местности заменить, например, вышедшего на пенсию почтальона бывает крайне сложно. </w:t>
      </w:r>
      <w:r>
        <w:rPr>
          <w:rFonts w:ascii="Times New Roman" w:hAnsi="Times New Roman"/>
          <w:bCs/>
          <w:i/>
          <w:iCs/>
          <w:sz w:val="24"/>
          <w:szCs w:val="24"/>
        </w:rPr>
        <w:t>«Многие услуги стали цифровыми, почти всё можно сделать онлайн, но это не отменяет потребности жителей сел в физическом почтовом отделении. Для привлечения работоспособного населения в села и решения кадровых вопросов необходимы масштабные программы. Совет Федерации, Минсельхоз и многие другие органы власти помогают решать задачу по возрождению села, мы считаем, что такие меры поддержки должны быть реализованы и в почтовой отрасли»</w:t>
      </w:r>
      <w:r>
        <w:rPr>
          <w:rFonts w:ascii="Times New Roman" w:hAnsi="Times New Roman"/>
          <w:bCs/>
          <w:sz w:val="24"/>
          <w:szCs w:val="24"/>
        </w:rPr>
        <w:t>, — подчеркнула Екатерина Куманина.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рекомендациями Совета Федерации продолжается работа над созданием программы «Земский почтовый работник», которая предполагает единовременную компенсацию и целый ряд региональных мер поддержки для сотрудников, переехавших в населенные пункты численностью менее 50 000 человек.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/>
          <w:b/>
          <w:bCs/>
          <w:i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/>
          <w:i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/>
          <w:i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/>
          <w:i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GoBack"/>
        <w:bookmarkStart w:id="2" w:name="_Hlk219109036_Копия_1_Копия_1_Копия_1"/>
        <w:bookmarkStart w:id="3" w:name="_Hlk219109036_Копия_1_Копия_1"/>
        <w:bookmarkEnd w:id="1"/>
        <w:bookmarkEnd w:id="2"/>
        <w:bookmarkEnd w:id="3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8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LibreOffice/24.8.5.2$Linux_X86_64 LibreOffice_project/480$Build-2</Application>
  <AppVersion>15.0000</AppVersion>
  <Pages>2</Pages>
  <Words>474</Words>
  <Characters>3227</Characters>
  <CharactersWithSpaces>3785</CharactersWithSpaces>
  <Paragraphs>19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2026-05-28T06:45:00Z</dcterms:created>
  <dc:creator>Баканова Екатерина Алексеевна</dc:creator>
  <dc:description/>
  <dc:language>ru-RU</dc:language>
  <cp:lastModifiedBy/>
  <cp:lastPrinted>2026-04-20T10:00:00Z</cp:lastPrinted>
  <dcterms:modified xsi:type="dcterms:W3CDTF">2026-05-29T08:31:18Z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