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  <w:lang w:val="en-US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  <w:lang w:val="en-US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Arial Unicode MS" w:cs="Times New Roman"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>21</w: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мая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7D568E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7D568E6D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Web"/>
        <w:spacing w:lineRule="auto" w:line="256" w:beforeAutospacing="0" w:before="0" w:after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450" w:beforeAutospacing="1" w:afterAutospacing="1"/>
        <w:jc w:val="center"/>
        <w:outlineLvl w:val="0"/>
        <w:rPr>
          <w:rFonts w:ascii="Times New Roman" w:hAnsi="Times New Roman" w:cs="Times New Roman"/>
          <w:b/>
          <w:kern w:val="2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kern w:val="2"/>
          <w:sz w:val="28"/>
          <w:szCs w:val="28"/>
        </w:rPr>
        <w:t xml:space="preserve">Почта России и «Транснефть» объединят усилия </w:t>
        <w:br/>
        <w:t>в сфере кибербезопасности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«Почта России» и «Транснефть» заключили соглашение о сотрудничестве в вопросах противодействия угрозам информационной безопасности. Подписание прошло </w:t>
      </w:r>
      <w:r>
        <w:rPr>
          <w:rFonts w:cs="Times New Roman" w:ascii="Times New Roman" w:hAnsi="Times New Roman"/>
          <w:b/>
          <w:bCs/>
          <w:sz w:val="24"/>
          <w:szCs w:val="24"/>
        </w:rPr>
        <w:t>на полях XI Конференции «Цифровая индустрия промышленной России» (ЦИПР)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Подписи под документом поставили заместитель генерального директора Почты России </w:t>
      </w:r>
      <w:r>
        <w:rPr>
          <w:rFonts w:cs="Times New Roman" w:ascii="Times New Roman" w:hAnsi="Times New Roman"/>
          <w:b/>
          <w:sz w:val="24"/>
          <w:szCs w:val="24"/>
        </w:rPr>
        <w:t>Сергей Гончаров</w:t>
      </w:r>
      <w:r>
        <w:rPr>
          <w:rFonts w:cs="Times New Roman" w:ascii="Times New Roman" w:hAnsi="Times New Roman"/>
          <w:sz w:val="24"/>
          <w:szCs w:val="24"/>
        </w:rPr>
        <w:t xml:space="preserve"> и директор Департамента информационной безопасности «Транснефти» </w:t>
      </w:r>
      <w:r>
        <w:rPr>
          <w:rFonts w:cs="Times New Roman" w:ascii="Times New Roman" w:hAnsi="Times New Roman"/>
          <w:b/>
          <w:sz w:val="24"/>
          <w:szCs w:val="24"/>
        </w:rPr>
        <w:t>Михаил Наумов.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Соглашение предполагает совместную работу по выявлению, предупреждению и отражению компьютерных атак, а также минимизации последствий инцидентов.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Компании планируют наладить регулярный обмен данными о киберугрозах, делиться опытом по защите корпоративных информационных систем и оперативно информировать друг друга о новых рисках и методах противодействия злоумышленникам.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Взаимодействие будет осуществляться в различных форматах: от взаимных визитов и рабочих встреч до совместной разработки мер по укреплению цифровой устойчивости и обмена лучшими практиками. Такой подход позволит обеим компаниям повысить уровень защищённости и оперативно реагировать на вызовы в сфере информационной безопасности.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«Начало нашего сотрудничества — стратегически важный шаг для обеих компаний. Объединяя наши усилия и экспертизу, мы сможем проактивно реагировать на киберугрозы, а также минимизировать последствия возможных инцидентов. Постоянный обмен опытом позволит нам оперативно справляться с новыми вызовами и повысит общий уровень защищённости. Мы уверены, что совместная работа укрепит цифровую устойчивость наших компаний и станет значимым вкладом в развитие отечественного рынка кибербезопасности»,</w:t>
      </w:r>
      <w:r>
        <w:rPr>
          <w:rFonts w:cs="Times New Roman" w:ascii="Times New Roman" w:hAnsi="Times New Roman"/>
          <w:sz w:val="24"/>
          <w:szCs w:val="24"/>
        </w:rPr>
        <w:t xml:space="preserve"> — отметил </w:t>
      </w:r>
      <w:r>
        <w:rPr>
          <w:rFonts w:cs="Times New Roman" w:ascii="Times New Roman" w:hAnsi="Times New Roman"/>
          <w:b/>
          <w:sz w:val="24"/>
          <w:szCs w:val="24"/>
        </w:rPr>
        <w:t>Сергей Гончаров.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«В условиях геополитической напряжённости кибератаки на российские предприятия продолжают расти. Одновременно с этим перед нашими компаниями стоят сложнейшие вызовы, связанные с импортозамещением, цифровизацией и развитием технологий искусственного интеллекта. Для обеспечения киберустойчивости предприятий Российской Федерации необходимо консолидировать усилия и экспертизу в области информационной безопасности. Подписанное соглашение с «Почтой России» — это важный шаг, который позволит более оперативно и качественно решать вопросы в части повышения защищённости и противодействия кибератакам. Помимо этого, возможность обмена накопленным опытом и экспертизой в области кибербезопасности позволят более эффективно выстраивать комплексную систему защиты информации»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— </w:t>
      </w:r>
      <w:r>
        <w:rPr>
          <w:rFonts w:cs="Times New Roman" w:ascii="Times New Roman" w:hAnsi="Times New Roman"/>
          <w:sz w:val="24"/>
          <w:szCs w:val="24"/>
        </w:rPr>
        <w:t xml:space="preserve">прокомментировал </w:t>
      </w:r>
      <w:r>
        <w:rPr>
          <w:rFonts w:cs="Times New Roman" w:ascii="Times New Roman" w:hAnsi="Times New Roman"/>
          <w:b/>
          <w:sz w:val="24"/>
          <w:szCs w:val="24"/>
        </w:rPr>
        <w:t>Михаил Наумов.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b/>
          <w:i/>
          <w:iCs/>
          <w:color w:val="000000"/>
          <w:sz w:val="20"/>
          <w:szCs w:val="20"/>
        </w:rPr>
        <w:t>—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1" w:name="_Hlk221110505"/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  <w:bookmarkEnd w:id="1"/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2" w:name="_Hlk219109036_Копия_1"/>
        <w:bookmarkEnd w:id="2"/>
        <w:r>
          <w:rPr>
            <w:rStyle w:val="Hyperlink"/>
            <w:rFonts w:eastAsia="Times New Roman" w:cs="Times New Roman" w:ascii="Times New Roman" w:hAnsi="Times New Roman"/>
            <w:b/>
            <w:i w:val="false"/>
            <w:iCs w:val="false"/>
            <w:color w:val="0000FF"/>
            <w:sz w:val="24"/>
            <w:szCs w:val="24"/>
            <w:u w:val="single"/>
          </w:rPr>
          <w:t>Ovdina-A@russianpost.ru</w:t>
        </w:r>
      </w:hyperlink>
    </w:p>
    <w:p>
      <w:pPr>
        <w:pStyle w:val="Style20"/>
        <w:jc w:val="both"/>
        <w:rPr>
          <w:rStyle w:val="Hyperlink"/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bookmarkStart w:id="3" w:name="_GoBack"/>
      <w:bookmarkStart w:id="4" w:name="_GoBack"/>
      <w:bookmarkEnd w:id="4"/>
    </w:p>
    <w:p>
      <w:pPr>
        <w:pStyle w:val="NormalWeb"/>
        <w:spacing w:lineRule="auto" w:line="256" w:beforeAutospacing="0" w:before="0" w:afterAutospacing="0" w:after="16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6" w:beforeAutospacing="0" w:before="0" w:afterAutospacing="0" w:after="160"/>
        <w:jc w:val="both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af78f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81b1a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1b1a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481b1a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81b1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43911"/>
    <w:rPr>
      <w:b/>
      <w:bCs/>
    </w:rPr>
  </w:style>
  <w:style w:type="character" w:styleId="Style17" w:customStyle="1">
    <w:name w:val="Основной текст с отступом Знак"/>
    <w:basedOn w:val="DefaultParagraphFont"/>
    <w:uiPriority w:val="99"/>
    <w:qFormat/>
    <w:rsid w:val="00357455"/>
    <w:rPr>
      <w:rFonts w:ascii="Calibri" w:hAnsi="Calibri" w:eastAsia="SimSun" w:cs="font299"/>
      <w:lang w:eastAsia="ar-SA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unhideWhenUsed/>
    <w:qFormat/>
    <w:rsid w:val="00b977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481b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481b1a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81b1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02529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ru-RU" w:eastAsia="en-US" w:bidi="ar-SA"/>
    </w:rPr>
  </w:style>
  <w:style w:type="paragraph" w:styleId="BodyTextIndent">
    <w:name w:val="Body Text Indent"/>
    <w:basedOn w:val="Normal"/>
    <w:link w:val="Style17"/>
    <w:uiPriority w:val="99"/>
    <w:unhideWhenUsed/>
    <w:rsid w:val="00357455"/>
    <w:pPr>
      <w:suppressAutoHyphens w:val="true"/>
      <w:spacing w:lineRule="auto" w:line="276" w:before="0" w:after="120"/>
      <w:ind w:left="283"/>
    </w:pPr>
    <w:rPr>
      <w:rFonts w:ascii="Calibri" w:hAnsi="Calibri" w:eastAsia="SimSun" w:cs="font299"/>
      <w:lang w:eastAsia="ar-SA"/>
    </w:rPr>
  </w:style>
  <w:style w:type="paragraph" w:styleId="Style20">
    <w:name w:val="Без интервала"/>
    <w:basedOn w:val="Normal"/>
    <w:qFormat/>
    <w:pPr>
      <w:spacing w:lineRule="auto" w:line="240" w:before="0" w:after="0"/>
    </w:pPr>
    <w:rPr>
      <w:rFonts w:eastAsia="Calibri" w:cs="Calibri"/>
      <w:sz w:val="24"/>
      <w:szCs w:val="24"/>
      <w:lang w:eastAsia="zh-CN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LibreOffice/24.8.5.2$Linux_X86_64 LibreOffice_project/480$Build-2</Application>
  <AppVersion>15.0000</AppVersion>
  <Pages>2</Pages>
  <Words>414</Words>
  <Characters>3062</Characters>
  <CharactersWithSpaces>3559</CharactersWithSpaces>
  <Paragraphs>19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2026-05-19T10:43:00Z</dcterms:created>
  <dc:creator>Воробьева Анна Юрьевна</dc:creator>
  <dc:description/>
  <dc:language>ru-RU</dc:language>
  <cp:lastModifiedBy/>
  <dcterms:modified xsi:type="dcterms:W3CDTF">2026-05-21T10:04:42Z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