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53"/>
        <w:gridCol w:w="2517"/>
      </w:tblGrid>
      <w:tr>
        <w:trPr>
          <w:trHeight w:val="1719" w:hRule="atLeast"/>
        </w:trPr>
        <w:tc>
          <w:tcPr>
            <w:tcW w:w="7053" w:type="dxa"/>
            <w:tcBorders/>
          </w:tcPr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r>
          </w:p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r>
          </w:p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  <w:t xml:space="preserve">ПРЕСС-РЕЛИЗ                                                                        </w:t>
            </w:r>
          </w:p>
          <w:p>
            <w:pPr>
              <w:pStyle w:val="Normal"/>
              <w:spacing w:before="0" w:after="160"/>
              <w:jc w:val="both"/>
              <w:rPr>
                <w:rFonts w:ascii="Arial" w:hAnsi="Arial" w:eastAsia="Arial Unicode MS" w:cs="Arial Unicode MS"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 w:color="0B308C"/>
                <w:lang w:eastAsia="ru-RU"/>
              </w:rPr>
              <w:t>8</w: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 w:color="0B308C"/>
                <w:lang w:eastAsia="ru-RU"/>
              </w:rPr>
              <w:t xml:space="preserve"> мая 2026 </w:t>
            </w: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25FC41E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635"/>
                      <wp:effectExtent l="12700" t="12700" r="13335" b="12700"/>
                      <wp:wrapNone/>
                      <wp:docPr id="1" name="Прямая соединительная линия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6480" cy="72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e6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5pt,19.8pt" to="354.65pt,19.8pt" ID="Прямая соединительная линия 3" stroked="t" o:allowincell="f" style="position:absolute;flip:x" wp14:anchorId="25FC41ED">
                      <v:stroke color="#0000e6" weight="255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 w:color="0B308C"/>
                <w:lang w:eastAsia="ru-RU"/>
              </w:rPr>
              <w:t xml:space="preserve"> </w:t>
            </w:r>
          </w:p>
        </w:tc>
        <w:tc>
          <w:tcPr>
            <w:tcW w:w="2517" w:type="dxa"/>
            <w:tcBorders/>
          </w:tcPr>
          <w:p>
            <w:pPr>
              <w:pStyle w:val="Normal"/>
              <w:spacing w:lineRule="auto" w:line="288" w:before="120" w:after="120"/>
              <w:jc w:val="both"/>
              <w:rPr>
                <w:rFonts w:ascii="Times New Roman" w:hAnsi="Times New Roman" w:eastAsia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/>
              <w:drawing>
                <wp:inline distT="0" distB="0" distL="0" distR="0">
                  <wp:extent cx="901700" cy="901700"/>
                  <wp:effectExtent l="0" t="0" r="0" b="0"/>
                  <wp:docPr id="2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NormalWeb"/>
        <w:spacing w:lineRule="atLeast" w:line="360" w:before="280" w:after="280"/>
        <w:jc w:val="center"/>
        <w:rPr>
          <w:b/>
          <w:bCs/>
          <w:kern w:val="2"/>
          <w:sz w:val="28"/>
          <w:szCs w:val="28"/>
          <w14:ligatures w14:val="standardContextual"/>
        </w:rPr>
      </w:pPr>
      <w:r>
        <w:rPr>
          <w:b/>
          <w:bCs/>
          <w:kern w:val="2"/>
          <w:sz w:val="28"/>
          <w:szCs w:val="28"/>
          <w14:ligatures w14:val="standardContextual"/>
        </w:rPr>
        <w:t>Почта дарит садоводам скидки на подписку до 20%</w:t>
      </w:r>
    </w:p>
    <w:p>
      <w:pPr>
        <w:pStyle w:val="NormalWeb"/>
        <w:spacing w:lineRule="atLeast" w:line="360" w:before="280" w:after="280"/>
        <w:jc w:val="both"/>
        <w:rPr>
          <w:b/>
          <w:bCs/>
          <w:kern w:val="2"/>
          <w14:ligatures w14:val="standardContextual"/>
        </w:rPr>
      </w:pPr>
      <w:r>
        <w:rPr>
          <w:b/>
          <w:bCs/>
          <w:kern w:val="2"/>
          <w14:ligatures w14:val="standardContextual"/>
        </w:rPr>
        <w:t xml:space="preserve">С началом дачного сезона Почта России совместно с издателями предлагает садоводам оформить подписку со скидкой до 20% на избранные тематические издания. Акция продлится </w:t>
      </w:r>
      <w:r>
        <w:rPr>
          <w:b/>
          <w:bCs/>
        </w:rPr>
        <w:t>по 17 мая.</w:t>
      </w:r>
      <w:r>
        <w:rPr/>
        <w:t xml:space="preserve"> </w:t>
      </w:r>
    </w:p>
    <w:p>
      <w:pPr>
        <w:pStyle w:val="NormalWeb"/>
        <w:spacing w:lineRule="atLeast" w:line="360" w:before="280" w:after="280"/>
        <w:jc w:val="both"/>
        <w:rPr/>
      </w:pPr>
      <w:r>
        <w:rPr/>
        <w:t>Оформить подписку можно на </w:t>
      </w:r>
      <w:hyperlink r:id="rId3">
        <w:r>
          <w:rPr>
            <w:rStyle w:val="Hyperlink"/>
          </w:rPr>
          <w:t>сайте</w:t>
        </w:r>
      </w:hyperlink>
      <w:r>
        <w:rPr/>
        <w:t xml:space="preserve"> или в мобильном приложении компании, а также во всех почтовых отделениях и у почтальонов. Клиенты, которые выписывают периодику онлайн, могут выбрать нужное издание по названию или подписному индексу, теме, алфавиту, интересам, а оформление займёт всего несколько минут.</w:t>
      </w:r>
    </w:p>
    <w:p>
      <w:pPr>
        <w:pStyle w:val="NormalWeb"/>
        <w:spacing w:lineRule="atLeast" w:line="360" w:before="280" w:after="280"/>
        <w:jc w:val="both"/>
        <w:rPr/>
      </w:pPr>
      <w:r>
        <w:rPr/>
        <w:t>Также клиенты Почты могут принять участие в благотворительной акции «Дерево добра» и подарить подписку на журналы и газеты пожилым соседям, инвалидам из домов престарелых, детским домам, библиотекам, домам ветеранов или другим социальным учреждениям по всей стране. Для оформления достаточно воспользоваться QR-кодом или перейти по </w:t>
      </w:r>
      <w:hyperlink r:id="rId4">
        <w:r>
          <w:rPr>
            <w:rStyle w:val="Hyperlink"/>
          </w:rPr>
          <w:t>ссылке</w:t>
        </w:r>
      </w:hyperlink>
      <w:r>
        <w:rPr/>
        <w:t xml:space="preserve">. 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i/>
          <w:i/>
          <w:kern w:val="2"/>
          <w:sz w:val="20"/>
          <w:szCs w:val="20"/>
          <w14:ligatures w14:val="standardContextual"/>
        </w:rPr>
      </w:pPr>
      <w:r>
        <w:rPr>
          <w:rFonts w:eastAsia="Times New Roman" w:cs="Times New Roman" w:ascii="Times New Roman" w:hAnsi="Times New Roman"/>
          <w:b/>
          <w:i/>
          <w:kern w:val="2"/>
          <w:sz w:val="20"/>
          <w:szCs w:val="20"/>
          <w14:ligatures w14:val="standardContextual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i/>
          <w:i/>
          <w:kern w:val="2"/>
          <w:sz w:val="20"/>
          <w:szCs w:val="20"/>
          <w14:ligatures w14:val="standardContextual"/>
        </w:rPr>
      </w:pPr>
      <w:r>
        <w:rPr>
          <w:rFonts w:eastAsia="Times New Roman" w:cs="Times New Roman" w:ascii="Times New Roman" w:hAnsi="Times New Roman"/>
          <w:b/>
          <w:i/>
          <w:kern w:val="2"/>
          <w:sz w:val="20"/>
          <w:szCs w:val="20"/>
          <w14:ligatures w14:val="standardContextual"/>
        </w:rPr>
        <w:t>Справочно: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b/>
          <w:bCs/>
          <w:i/>
          <w:iCs/>
          <w:color w:val="000000"/>
          <w:sz w:val="20"/>
          <w:szCs w:val="20"/>
        </w:rPr>
        <w:t>АО «Почта России»</w:t>
      </w: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— в 2025 г. Почта доставила порядка 380 млн писем в электронном и гибридном формате.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>С 2015 г. государство не предоставляет компании меры поддержки, позволяющие покрыть расходы на содержание сети объектов почтовой связи в соответствии с требованиями по размещению отделений и оказанию универсальных услуг связи.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  <w:shd w:fill="FFFFFF" w:val="clear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  <w:shd w:fill="FFFFFF" w:val="clear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>
      <w:pPr>
        <w:pStyle w:val="Normal"/>
        <w:spacing w:lineRule="auto" w:line="288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ascii="Times New Roman" w:hAnsi="Times New Roman"/>
          <w:b/>
          <w:bCs/>
          <w:sz w:val="24"/>
          <w:szCs w:val="24"/>
        </w:rPr>
        <w:t>Пресс-служба АО «Почта России»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ascii="Times New Roman" w:hAnsi="Times New Roman"/>
          <w:bCs/>
          <w:sz w:val="24"/>
          <w:szCs w:val="24"/>
        </w:rPr>
        <w:t>Александра Овдина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Раб. +7 (391) 219-1760 доб. 6631</w:t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ascii="Times New Roman" w:hAnsi="Times New Roman"/>
          <w:bCs/>
          <w:sz w:val="24"/>
          <w:szCs w:val="24"/>
        </w:rPr>
        <w:t>Тел. +7 (908) 213-11-10</w:t>
      </w:r>
    </w:p>
    <w:p>
      <w:pPr>
        <w:pStyle w:val="Normal"/>
        <w:spacing w:lineRule="auto" w:line="360" w:before="0" w:after="0"/>
        <w:jc w:val="both"/>
        <w:rPr/>
      </w:pPr>
      <w:hyperlink r:id="rId5">
        <w:bookmarkStart w:id="0" w:name="_Hlk219109036_Копия_1"/>
        <w:bookmarkEnd w:id="0"/>
        <w:r>
          <w:rPr>
            <w:rStyle w:val="Hyperlink"/>
            <w:rFonts w:eastAsia="Times New Roman" w:cs="Times New Roman" w:ascii="Times New Roman" w:hAnsi="Times New Roman"/>
            <w:b/>
            <w:i w:val="false"/>
            <w:iCs w:val="false"/>
            <w:color w:val="0000FF"/>
            <w:sz w:val="24"/>
            <w:szCs w:val="24"/>
            <w:u w:val="single"/>
          </w:rPr>
          <w:t>Ovdina-A@russianpost.ru</w:t>
        </w:r>
      </w:hyperlink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i w:val="false"/>
          <w:i w:val="false"/>
          <w:iCs w:val="false"/>
          <w:color w:val="0000FF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i w:val="false"/>
          <w:iCs w:val="false"/>
          <w:color w:val="0000FF"/>
          <w:sz w:val="24"/>
          <w:szCs w:val="24"/>
          <w:u w:val="single"/>
        </w:rPr>
      </w:r>
      <w:bookmarkStart w:id="1" w:name="_Hlk219109036"/>
      <w:bookmarkStart w:id="2" w:name="_Hlk219109036"/>
      <w:bookmarkEnd w:id="2"/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3" w:name="_GoBack"/>
      <w:bookmarkStart w:id="4" w:name="_GoBack"/>
      <w:bookmarkEnd w:id="4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100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246e17"/>
    <w:pPr>
      <w:spacing w:lineRule="auto" w:line="254" w:before="120" w:after="120"/>
      <w:outlineLvl w:val="0"/>
    </w:pPr>
    <w:rPr>
      <w:rFonts w:eastAsia="Times New Roman"/>
      <w:b/>
      <w:bCs/>
      <w:kern w:val="2"/>
      <w:sz w:val="34"/>
      <w:szCs w:val="34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46e17"/>
    <w:pPr>
      <w:spacing w:lineRule="auto" w:line="254" w:before="120" w:after="120"/>
      <w:outlineLvl w:val="1"/>
    </w:pPr>
    <w:rPr>
      <w:rFonts w:eastAsia="Times New Roman"/>
      <w:b/>
      <w:bCs/>
      <w:kern w:val="2"/>
      <w:sz w:val="30"/>
      <w:szCs w:val="30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a54453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838d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569e8"/>
    <w:rPr>
      <w:sz w:val="16"/>
      <w:szCs w:val="16"/>
    </w:rPr>
  </w:style>
  <w:style w:type="character" w:styleId="Style11" w:customStyle="1">
    <w:name w:val="Текст примечания Знак"/>
    <w:basedOn w:val="DefaultParagraphFont"/>
    <w:uiPriority w:val="99"/>
    <w:semiHidden/>
    <w:qFormat/>
    <w:rsid w:val="005569e8"/>
    <w:rPr>
      <w:sz w:val="20"/>
      <w:szCs w:val="20"/>
    </w:rPr>
  </w:style>
  <w:style w:type="character" w:styleId="Style12" w:customStyle="1">
    <w:name w:val="Тема примечания Знак"/>
    <w:basedOn w:val="Style11"/>
    <w:link w:val="annotationsubject"/>
    <w:uiPriority w:val="99"/>
    <w:semiHidden/>
    <w:qFormat/>
    <w:rsid w:val="005569e8"/>
    <w:rPr>
      <w:b/>
      <w:bCs/>
      <w:sz w:val="20"/>
      <w:szCs w:val="20"/>
    </w:rPr>
  </w:style>
  <w:style w:type="character" w:styleId="ng-star-inserted" w:customStyle="1">
    <w:name w:val="ng-star-inserted"/>
    <w:basedOn w:val="DefaultParagraphFont"/>
    <w:qFormat/>
    <w:rsid w:val="004e0d07"/>
    <w:rPr/>
  </w:style>
  <w:style w:type="character" w:styleId="1" w:customStyle="1">
    <w:name w:val="Заголовок 1 Знак"/>
    <w:basedOn w:val="DefaultParagraphFont"/>
    <w:uiPriority w:val="9"/>
    <w:qFormat/>
    <w:rsid w:val="00246e17"/>
    <w:rPr>
      <w:rFonts w:eastAsia="Times New Roman"/>
      <w:b/>
      <w:bCs/>
      <w:kern w:val="2"/>
      <w:sz w:val="34"/>
      <w:szCs w:val="34"/>
      <w14:ligatures w14:val="standardContextual"/>
    </w:rPr>
  </w:style>
  <w:style w:type="character" w:styleId="2" w:customStyle="1">
    <w:name w:val="Заголовок 2 Знак"/>
    <w:basedOn w:val="DefaultParagraphFont"/>
    <w:uiPriority w:val="9"/>
    <w:semiHidden/>
    <w:qFormat/>
    <w:rsid w:val="00246e17"/>
    <w:rPr>
      <w:rFonts w:eastAsia="Times New Roman"/>
      <w:b/>
      <w:bCs/>
      <w:kern w:val="2"/>
      <w:sz w:val="30"/>
      <w:szCs w:val="30"/>
      <w14:ligatures w14:val="standardContextual"/>
    </w:rPr>
  </w:style>
  <w:style w:type="character" w:styleId="3" w:customStyle="1">
    <w:name w:val="Заголовок 3 Знак"/>
    <w:basedOn w:val="DefaultParagraphFont"/>
    <w:uiPriority w:val="9"/>
    <w:qFormat/>
    <w:rsid w:val="00a54453"/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  <w:sz w:val="24"/>
      <w:szCs w:val="24"/>
    </w:rPr>
  </w:style>
  <w:style w:type="character" w:styleId="font-sc-le1wax-0" w:customStyle="1">
    <w:name w:val="font-sc-le1wax-0"/>
    <w:basedOn w:val="DefaultParagraphFont"/>
    <w:qFormat/>
    <w:rsid w:val="00ef1b60"/>
    <w:rPr/>
  </w:style>
  <w:style w:type="character" w:styleId="FollowedHyperlink">
    <w:name w:val="FollowedHyperlink"/>
    <w:basedOn w:val="DefaultParagraphFont"/>
    <w:uiPriority w:val="99"/>
    <w:semiHidden/>
    <w:unhideWhenUsed/>
    <w:rsid w:val="00661282"/>
    <w:rPr>
      <w:color w:themeColor="followedHyperlink" w:val="954F72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d82461"/>
    <w:rPr>
      <w:color w:val="605E5C"/>
      <w:shd w:fill="E1DFDD" w:val="clear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Noto Sans"/>
    </w:rPr>
  </w:style>
  <w:style w:type="paragraph" w:styleId="NormalWeb">
    <w:name w:val="Normal (Web)"/>
    <w:basedOn w:val="Normal"/>
    <w:uiPriority w:val="99"/>
    <w:unhideWhenUsed/>
    <w:qFormat/>
    <w:rsid w:val="004838d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mmentText">
    <w:name w:val="annotation text"/>
    <w:basedOn w:val="Normal"/>
    <w:link w:val="Style11"/>
    <w:uiPriority w:val="99"/>
    <w:semiHidden/>
    <w:unhideWhenUsed/>
    <w:rsid w:val="005569e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2"/>
    <w:uiPriority w:val="99"/>
    <w:semiHidden/>
    <w:unhideWhenUsed/>
    <w:qFormat/>
    <w:rsid w:val="005569e8"/>
    <w:pPr/>
    <w:rPr>
      <w:b/>
      <w:bCs/>
    </w:rPr>
  </w:style>
  <w:style w:type="paragraph" w:styleId="Revision">
    <w:name w:val="Revision"/>
    <w:uiPriority w:val="99"/>
    <w:semiHidden/>
    <w:qFormat/>
    <w:rsid w:val="00342c05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166158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ru-RU" w:eastAsia="en-US" w:bidi="ar-SA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podpiska.pochta.ru/collection/flower" TargetMode="External"/><Relationship Id="rId4" Type="http://schemas.openxmlformats.org/officeDocument/2006/relationships/hyperlink" Target="https://podpiska.pochta.ru/derevo-dobra" TargetMode="External"/><Relationship Id="rId5" Type="http://schemas.openxmlformats.org/officeDocument/2006/relationships/hyperlink" Target="mailto:Ovdina-A@russianpost.ru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LibreOffice/24.8.5.2$Linux_X86_64 LibreOffice_project/480$Build-2</Application>
  <AppVersion>15.0000</AppVersion>
  <Pages>2</Pages>
  <Words>277</Words>
  <Characters>1804</Characters>
  <CharactersWithSpaces>2159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2026-05-04T12:03:00Z</dcterms:created>
  <dc:creator>Иван Ефимчук</dc:creator>
  <dc:description/>
  <dc:language>ru-RU</dc:language>
  <cp:lastModifiedBy/>
  <dcterms:modified xsi:type="dcterms:W3CDTF">2026-05-08T09:46:56Z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