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1F497D"/>
        </w:rPr>
      </w:pPr>
      <w:r>
        <w:rPr>
          <w:color w:val="1F497D"/>
        </w:rPr>
      </w:r>
      <w:bookmarkStart w:id="0" w:name="_Hlk219109036"/>
      <w:bookmarkStart w:id="1" w:name="_Hlk219109036"/>
      <w:bookmarkEnd w:id="1"/>
    </w:p>
    <w:tbl>
      <w:tblPr>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53"/>
        <w:gridCol w:w="2517"/>
      </w:tblGrid>
      <w:tr>
        <w:trPr>
          <w:trHeight w:val="1719" w:hRule="atLeast"/>
        </w:trPr>
        <w:tc>
          <w:tcPr>
            <w:tcW w:w="7053" w:type="dxa"/>
            <w:tcBorders/>
          </w:tcPr>
          <w:p>
            <w:pPr>
              <w:pStyle w:val="Normal"/>
              <w:jc w:val="both"/>
              <w:rPr>
                <w:rFonts w:ascii="Arial" w:hAnsi="Arial" w:eastAsia="Arial Unicode MS" w:cs="Arial Unicode MS"/>
                <w:b/>
                <w:bCs/>
                <w:color w:val="0000E6"/>
                <w:sz w:val="24"/>
                <w:szCs w:val="24"/>
                <w:u w:val="none" w:color="0B308C"/>
                <w:lang w:eastAsia="ru-RU"/>
              </w:rPr>
            </w:pPr>
            <w:r>
              <w:rPr>
                <w:rFonts w:eastAsia="Arial Unicode MS" w:cs="Arial Unicode MS" w:ascii="Arial" w:hAnsi="Arial"/>
                <w:b/>
                <w:bCs/>
                <w:color w:val="0000E6"/>
                <w:sz w:val="24"/>
                <w:szCs w:val="24"/>
                <w:u w:val="none" w:color="0B308C"/>
                <w:lang w:eastAsia="ru-RU"/>
              </w:rPr>
            </w:r>
          </w:p>
          <w:p>
            <w:pPr>
              <w:pStyle w:val="Normal"/>
              <w:jc w:val="both"/>
              <w:rPr>
                <w:rFonts w:ascii="Arial" w:hAnsi="Arial" w:eastAsia="Arial Unicode MS" w:cs="Arial Unicode MS"/>
                <w:b/>
                <w:bCs/>
                <w:color w:val="0000E6"/>
                <w:sz w:val="24"/>
                <w:szCs w:val="24"/>
                <w:u w:val="none" w:color="0B308C"/>
                <w:lang w:eastAsia="ru-RU"/>
              </w:rPr>
            </w:pPr>
            <w:r>
              <w:rPr>
                <w:rFonts w:eastAsia="Arial Unicode MS" w:cs="Arial Unicode MS" w:ascii="Arial" w:hAnsi="Arial"/>
                <w:b/>
                <w:bCs/>
                <w:color w:val="0000E6"/>
                <w:sz w:val="24"/>
                <w:szCs w:val="24"/>
                <w:u w:val="none" w:color="0B308C"/>
                <w:lang w:eastAsia="ru-RU"/>
              </w:rPr>
            </w:r>
          </w:p>
          <w:p>
            <w:pPr>
              <w:pStyle w:val="Normal"/>
              <w:jc w:val="both"/>
              <w:rPr>
                <w:rFonts w:ascii="Arial" w:hAnsi="Arial" w:eastAsia="Arial Unicode MS" w:cs="Arial Unicode MS"/>
                <w:b/>
                <w:bCs/>
                <w:color w:val="0000E6"/>
                <w:sz w:val="24"/>
                <w:szCs w:val="24"/>
                <w:u w:val="none" w:color="0B308C"/>
                <w:lang w:eastAsia="ru-RU"/>
              </w:rPr>
            </w:pPr>
            <w:r>
              <w:rPr>
                <w:rFonts w:eastAsia="Arial Unicode MS" w:cs="Arial Unicode MS" w:ascii="Arial" w:hAnsi="Arial"/>
                <w:b/>
                <w:bCs/>
                <w:color w:val="0000E6"/>
                <w:sz w:val="24"/>
                <w:szCs w:val="24"/>
                <w:u w:val="none" w:color="0B308C"/>
                <w:lang w:eastAsia="ru-RU"/>
              </w:rPr>
              <w:t>ПРЕСС-РЕЛИЗ</w:t>
            </w:r>
          </w:p>
          <w:p>
            <w:pPr>
              <w:pStyle w:val="Normal"/>
              <w:spacing w:before="0" w:after="160"/>
              <w:jc w:val="both"/>
              <w:rPr>
                <w:rFonts w:ascii="Arial" w:hAnsi="Arial" w:eastAsia="Arial Unicode MS" w:cs="Arial Unicode MS"/>
                <w:color w:val="0000E6"/>
                <w:sz w:val="24"/>
                <w:szCs w:val="24"/>
                <w:u w:val="none" w:color="0B308C"/>
                <w:lang w:eastAsia="ru-RU"/>
              </w:rPr>
            </w:pPr>
            <w:r>
              <mc:AlternateContent>
                <mc:Choice Requires="wps">
                  <w:drawing>
                    <wp:anchor behindDoc="0" distT="12700" distB="12700" distL="12700" distR="13335" simplePos="0" locked="0" layoutInCell="1" allowOverlap="1" relativeHeight="3" wp14:anchorId="128F1BDF">
                      <wp:simplePos x="0" y="0"/>
                      <wp:positionH relativeFrom="column">
                        <wp:posOffset>-1905</wp:posOffset>
                      </wp:positionH>
                      <wp:positionV relativeFrom="paragraph">
                        <wp:posOffset>251460</wp:posOffset>
                      </wp:positionV>
                      <wp:extent cx="4506595" cy="635"/>
                      <wp:effectExtent l="12700" t="12700" r="13335" b="12700"/>
                      <wp:wrapNone/>
                      <wp:docPr id="1" name="Прямая соединительная линия 3"/>
                      <a:graphic xmlns:a="http://schemas.openxmlformats.org/drawingml/2006/main">
                        <a:graphicData uri="http://schemas.microsoft.com/office/word/2010/wordprocessingShape">
                          <wps:wsp>
                            <wps:cNvSpPr/>
                            <wps:spPr>
                              <a:xfrm flipH="1">
                                <a:off x="0" y="0"/>
                                <a:ext cx="4506480" cy="720"/>
                              </a:xfrm>
                              <a:prstGeom prst="line">
                                <a:avLst/>
                              </a:prstGeom>
                              <a:ln w="25400">
                                <a:solidFill>
                                  <a:srgbClr val="0000e6"/>
                                </a:solidFill>
                                <a:round/>
                              </a:ln>
                            </wps:spPr>
                            <wps:style>
                              <a:lnRef idx="0"/>
                              <a:fillRef idx="0"/>
                              <a:effectRef idx="0"/>
                              <a:fontRef idx="minor"/>
                            </wps:style>
                            <wps:bodyPr/>
                          </wps:wsp>
                        </a:graphicData>
                      </a:graphic>
                    </wp:anchor>
                  </w:drawing>
                </mc:Choice>
                <mc:Fallback>
                  <w:pict>
                    <v:line id="shape_0" from="-0.15pt,19.8pt" to="354.65pt,19.8pt" ID="Прямая соединительная линия 3" stroked="t" o:allowincell="f" style="position:absolute;flip:x" wp14:anchorId="128F1BDF">
                      <v:stroke color="#0000e6" weight="25560" joinstyle="round" endcap="flat"/>
                      <v:fill o:detectmouseclick="t" on="false"/>
                      <w10:wrap type="none"/>
                    </v:line>
                  </w:pict>
                </mc:Fallback>
              </mc:AlternateContent>
            </w:r>
            <w:r>
              <w:rPr>
                <w:rFonts w:eastAsia="Arial Unicode MS" w:cs="Arial Unicode MS" w:ascii="Arial" w:hAnsi="Arial"/>
                <w:color w:val="0000E6"/>
                <w:sz w:val="24"/>
                <w:szCs w:val="24"/>
                <w:u w:val="none" w:color="0B308C"/>
                <w:lang w:eastAsia="ru-RU"/>
              </w:rPr>
              <w:t>27</w:t>
            </w:r>
            <w:r>
              <w:rPr>
                <w:rFonts w:eastAsia="Arial Unicode MS" w:cs="Arial Unicode MS" w:ascii="Arial" w:hAnsi="Arial"/>
                <w:color w:val="0000E6"/>
                <w:sz w:val="24"/>
                <w:szCs w:val="24"/>
                <w:u w:val="none" w:color="0B308C"/>
                <w:lang w:eastAsia="ru-RU"/>
              </w:rPr>
              <w:t xml:space="preserve"> апреля 2026</w:t>
            </w:r>
          </w:p>
        </w:tc>
        <w:tc>
          <w:tcPr>
            <w:tcW w:w="2517" w:type="dxa"/>
            <w:tcBorders/>
          </w:tcPr>
          <w:p>
            <w:pPr>
              <w:pStyle w:val="Normal"/>
              <w:spacing w:lineRule="auto" w:line="288" w:before="120" w:after="120"/>
              <w:jc w:val="both"/>
              <w:rPr>
                <w:rFonts w:ascii="Times New Roman" w:hAnsi="Times New Roman" w:eastAsia="Times New Roman" w:cs="Times New Roman"/>
                <w:b/>
                <w:color w:val="0918DD"/>
                <w:sz w:val="24"/>
                <w:szCs w:val="24"/>
              </w:rPr>
            </w:pPr>
            <w:r>
              <w:rPr>
                <w:rFonts w:eastAsia="Times New Roman" w:cs="Times New Roman" w:ascii="Times New Roman" w:hAnsi="Times New Roman"/>
                <w:b/>
                <w:color w:val="0918DD"/>
                <w:sz w:val="24"/>
                <w:szCs w:val="24"/>
              </w:rPr>
              <w:t xml:space="preserve">              </w:t>
            </w:r>
            <w:r>
              <w:rPr/>
              <w:drawing>
                <wp:inline distT="0" distB="0" distL="0" distR="0">
                  <wp:extent cx="901700" cy="901700"/>
                  <wp:effectExtent l="0" t="0" r="0" b="0"/>
                  <wp:docPr id="2"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descr=""/>
                          <pic:cNvPicPr>
                            <a:picLocks noChangeAspect="1" noChangeArrowheads="1"/>
                          </pic:cNvPicPr>
                        </pic:nvPicPr>
                        <pic:blipFill>
                          <a:blip r:embed="rId2"/>
                          <a:stretch>
                            <a:fillRect/>
                          </a:stretch>
                        </pic:blipFill>
                        <pic:spPr bwMode="auto">
                          <a:xfrm>
                            <a:off x="0" y="0"/>
                            <a:ext cx="901700" cy="901700"/>
                          </a:xfrm>
                          <a:prstGeom prst="rect">
                            <a:avLst/>
                          </a:prstGeom>
                          <a:noFill/>
                        </pic:spPr>
                      </pic:pic>
                    </a:graphicData>
                  </a:graphic>
                </wp:inline>
              </w:drawing>
            </w:r>
          </w:p>
        </w:tc>
      </w:tr>
    </w:tbl>
    <w:p>
      <w:pPr>
        <w:pStyle w:val="Normal"/>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Web"/>
        <w:shd w:val="clear" w:color="auto" w:fill="FFFFFF"/>
        <w:spacing w:before="280" w:after="280"/>
        <w:jc w:val="center"/>
        <w:rPr>
          <w:b/>
          <w:bCs/>
          <w:sz w:val="28"/>
          <w:szCs w:val="28"/>
        </w:rPr>
      </w:pPr>
      <w:r>
        <w:rPr>
          <w:rFonts w:cs="Times New Roman"/>
          <w:b/>
          <w:bCs/>
          <w:sz w:val="28"/>
          <w:szCs w:val="28"/>
        </w:rPr>
        <w:t>Чествуя подвиг: Почта России поддержала главную патриотическую акцию страны</w:t>
      </w:r>
    </w:p>
    <w:p>
      <w:pPr>
        <w:pStyle w:val="NormalWeb"/>
        <w:shd w:val="clear" w:color="auto" w:fill="FFFFFF"/>
        <w:spacing w:lineRule="auto" w:line="276" w:before="280" w:after="280"/>
        <w:jc w:val="both"/>
        <w:rPr>
          <w:b/>
          <w:bCs/>
        </w:rPr>
      </w:pPr>
      <w:r>
        <w:rPr>
          <w:rFonts w:cs="Times New Roman"/>
          <w:b/>
          <w:bCs/>
          <w:sz w:val="24"/>
          <w:szCs w:val="24"/>
        </w:rPr>
        <w:t xml:space="preserve">24 апреля 2026 г. по всей стране прошёл международный исторический диктант «Единой России» на тему событий Великой Отечественной войны — «Диктант Победы». Почта России третий год подряд выступила партнёром акции «Письмо Герою», проходящей в рамках мероприятия. </w:t>
      </w:r>
    </w:p>
    <w:p>
      <w:pPr>
        <w:pStyle w:val="NormalWeb"/>
        <w:shd w:val="clear" w:color="auto" w:fill="FFFFFF"/>
        <w:spacing w:lineRule="auto" w:line="276" w:before="280" w:after="280"/>
        <w:jc w:val="both"/>
        <w:rPr/>
      </w:pPr>
      <w:r>
        <w:rPr/>
        <w:t xml:space="preserve">В этом году диктант был посвящён начальному этапу Великой Отечественной войны и 130-летию со дня рождения маршала Советского Союза Георгия Жукова. Участники диктанта отвечали на вопросы по биографии великого полководца и ключевых событиях войны.  </w:t>
      </w:r>
    </w:p>
    <w:p>
      <w:pPr>
        <w:pStyle w:val="NormalWeb"/>
        <w:shd w:val="clear" w:color="auto" w:fill="FFFFFF"/>
        <w:spacing w:lineRule="auto" w:line="276" w:before="280" w:after="280"/>
        <w:jc w:val="both"/>
        <w:rPr>
          <w:b/>
          <w:bCs/>
        </w:rPr>
      </w:pPr>
      <w:r>
        <w:rPr/>
        <w:t>В этот же день на площадках диктанта прошла акция партии «Письмо Герою», где каждый желающий мог написать письмо со словами поддержки участникам специальной военной операции. Почта России как логистический партнёр акции традиционно предоставила почтовые ящики для отправки посланий. Сотрудники Почты приняли участие в диктанте более чем на 120 площадках, специально организованных компанией в 80 регионах страны.</w:t>
      </w:r>
      <w:r>
        <w:rPr>
          <w:i/>
          <w:color w:val="000000"/>
        </w:rPr>
        <w:t xml:space="preserve"> «</w:t>
      </w:r>
      <w:r>
        <w:rPr>
          <w:i/>
          <w:iCs/>
          <w:color w:val="000000"/>
          <w:shd w:fill="FFFFFF" w:val="clear"/>
        </w:rPr>
        <w:t>Почта России ежегодно с гордостью участвует в Диктанте Победы и акции „Письмо Герою“, благодаря которой наши бойцы могут почувствовать внимание не только своих близких, но и простых незнакомых людей, которые хотят выразить им свою поддержку и благодарность. Письма со всей страны с тёплыми словами мы отправляем в Москву, откуда их доставляют в зону проведения СВО. Объединять людей</w:t>
      </w:r>
      <w:r>
        <w:rPr>
          <w:rFonts w:ascii="Roboto" w:hAnsi="Roboto"/>
          <w:color w:val="000000"/>
          <w:shd w:fill="FFFFFF" w:val="clear"/>
        </w:rPr>
        <w:t xml:space="preserve"> </w:t>
      </w:r>
      <w:r>
        <w:rPr/>
        <w:t xml:space="preserve">— </w:t>
      </w:r>
      <w:r>
        <w:rPr>
          <w:i/>
          <w:iCs/>
          <w:color w:val="000000"/>
          <w:shd w:fill="FFFFFF" w:val="clear"/>
        </w:rPr>
        <w:t>наша почтовая миссия, и сегодня она особенно важна»</w:t>
      </w:r>
      <w:r>
        <w:rPr>
          <w:i/>
          <w:color w:val="000000"/>
        </w:rPr>
        <w:t xml:space="preserve">, </w:t>
      </w:r>
      <w:r>
        <w:rPr>
          <w:i/>
          <w:iCs/>
        </w:rPr>
        <w:t>—</w:t>
      </w:r>
      <w:r>
        <w:rPr>
          <w:rFonts w:eastAsia="Arial" w:cs="Arial" w:ascii="Arial" w:hAnsi="Arial"/>
          <w:highlight w:val="white"/>
        </w:rPr>
        <w:t xml:space="preserve"> </w:t>
      </w:r>
      <w:r>
        <w:rPr>
          <w:color w:val="000000"/>
        </w:rPr>
        <w:t>прокомментировал</w:t>
      </w:r>
      <w:r>
        <w:rPr/>
        <w:t xml:space="preserve"> </w:t>
      </w:r>
      <w:r>
        <w:rPr>
          <w:b/>
          <w:bCs/>
        </w:rPr>
        <w:t>Михаил Волков,</w:t>
      </w:r>
      <w:r>
        <w:rPr/>
        <w:t xml:space="preserve"> генеральный директор Почты России</w:t>
      </w:r>
      <w:r>
        <w:rPr>
          <w:b/>
          <w:bCs/>
        </w:rPr>
        <w:t>.</w:t>
      </w:r>
    </w:p>
    <w:p>
      <w:pPr>
        <w:pStyle w:val="Normal"/>
        <w:spacing w:lineRule="auto" w:line="276"/>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w:t>
      </w:r>
      <w:bookmarkStart w:id="2" w:name="_GoBack_Копия_1"/>
      <w:r>
        <w:rPr>
          <w:rFonts w:eastAsia="Times New Roman" w:cs="Times New Roman" w:ascii="Times New Roman" w:hAnsi="Times New Roman"/>
          <w:color w:val="000000"/>
          <w:sz w:val="24"/>
          <w:szCs w:val="24"/>
          <w:lang w:eastAsia="ru-RU"/>
        </w:rPr>
        <w:t>чта сотрудничает с акцией «Диктант Победы» с 2024 г. Компания оказывает логистическую поддержку и размещает информационные ролики о диктанте в отделениях по всей стране. За два года партнёрства Почта помогла доставить более 28 000 писем поддержки участникам С</w:t>
      </w:r>
      <w:bookmarkEnd w:id="2"/>
      <w:r>
        <w:rPr>
          <w:rFonts w:eastAsia="Times New Roman" w:cs="Times New Roman" w:ascii="Times New Roman" w:hAnsi="Times New Roman"/>
          <w:color w:val="000000"/>
          <w:sz w:val="24"/>
          <w:szCs w:val="24"/>
          <w:lang w:eastAsia="ru-RU"/>
        </w:rPr>
        <w:t>ВО.</w:t>
      </w:r>
    </w:p>
    <w:p>
      <w:pPr>
        <w:pStyle w:val="Normal"/>
        <w:jc w:val="both"/>
        <w:rPr>
          <w:rFonts w:ascii="Times New Roman" w:hAnsi="Times New Roman" w:eastAsia="Times New Roman" w:cs="Times New Roman"/>
          <w:b/>
          <w:iCs/>
          <w:kern w:val="2"/>
          <w:sz w:val="24"/>
          <w:szCs w:val="24"/>
          <w14:ligatures w14:val="standardContextual"/>
        </w:rPr>
      </w:pPr>
      <w:r>
        <w:rPr>
          <w:rFonts w:eastAsia="Times New Roman" w:cs="Times New Roman" w:ascii="Times New Roman" w:hAnsi="Times New Roman"/>
          <w:b/>
          <w:iCs/>
          <w:kern w:val="2"/>
          <w:sz w:val="24"/>
          <w:szCs w:val="24"/>
          <w14:ligatures w14:val="standardContextual"/>
        </w:rPr>
      </w:r>
      <w:bookmarkStart w:id="3" w:name="_GoBack"/>
      <w:bookmarkStart w:id="4" w:name="_GoBack"/>
      <w:bookmarkEnd w:id="4"/>
    </w:p>
    <w:p>
      <w:pPr>
        <w:pStyle w:val="Normal"/>
        <w:jc w:val="both"/>
        <w:rPr>
          <w:rFonts w:ascii="Times New Roman" w:hAnsi="Times New Roman" w:eastAsia="Times New Roman" w:cs="Times New Roman"/>
          <w:b/>
          <w:i/>
          <w:i/>
          <w:kern w:val="2"/>
          <w:sz w:val="20"/>
          <w:szCs w:val="20"/>
          <w14:ligatures w14:val="standardContextual"/>
        </w:rPr>
      </w:pPr>
      <w:r>
        <w:rPr>
          <w:rFonts w:eastAsia="Times New Roman" w:cs="Times New Roman" w:ascii="Times New Roman" w:hAnsi="Times New Roman"/>
          <w:b/>
          <w:i/>
          <w:kern w:val="2"/>
          <w:sz w:val="20"/>
          <w:szCs w:val="20"/>
          <w14:ligatures w14:val="standardContextual"/>
        </w:rPr>
        <w:t>Справочно:</w:t>
      </w:r>
    </w:p>
    <w:p>
      <w:pPr>
        <w:pStyle w:val="Normal"/>
        <w:spacing w:lineRule="auto" w:line="288" w:before="120" w:after="120"/>
        <w:jc w:val="both"/>
        <w:rPr>
          <w:rFonts w:ascii="Times New Roman" w:hAnsi="Times New Roman" w:eastAsia="Calibri" w:cs="Times New Roman"/>
          <w:i/>
          <w:i/>
          <w:iCs/>
          <w:color w:val="000000"/>
          <w:sz w:val="20"/>
          <w:szCs w:val="20"/>
        </w:rPr>
      </w:pPr>
      <w:r>
        <w:rPr>
          <w:rFonts w:eastAsia="Calibri" w:cs="Times New Roman" w:ascii="Times New Roman" w:hAnsi="Times New Roman"/>
          <w:b/>
          <w:bCs/>
          <w:i/>
          <w:iCs/>
          <w:color w:val="000000"/>
          <w:sz w:val="20"/>
          <w:szCs w:val="20"/>
        </w:rPr>
        <w:t>АО «Почта России»</w:t>
      </w:r>
      <w:r>
        <w:rPr>
          <w:rFonts w:eastAsia="Calibri" w:cs="Times New Roman" w:ascii="Times New Roman" w:hAnsi="Times New Roman"/>
          <w:i/>
          <w:iCs/>
          <w:color w:val="000000"/>
          <w:sz w:val="20"/>
          <w:szCs w:val="20"/>
        </w:rPr>
        <w:t xml:space="preserve"> — крупнейший федеральный почтовый и логистический оператор страны, входит в перечень стратегических предприятий Российской Федерации. Седьмая крупнейшая компания в мире по количеству отделений обслуживания клиентов — свыше 38 000 точек, порядка 66% из которых находятся в малых населенных пунктах. Среднемесячная протяженность логистических маршрутов Почты составляет 64 млн километров. </w:t>
      </w:r>
    </w:p>
    <w:p>
      <w:pPr>
        <w:pStyle w:val="Normal"/>
        <w:spacing w:lineRule="auto" w:line="288" w:before="120" w:after="120"/>
        <w:jc w:val="both"/>
        <w:rPr>
          <w:rFonts w:ascii="Times New Roman" w:hAnsi="Times New Roman" w:eastAsia="Calibri" w:cs="Times New Roman"/>
          <w:i/>
          <w:i/>
          <w:iCs/>
          <w:color w:val="000000"/>
          <w:sz w:val="20"/>
          <w:szCs w:val="20"/>
        </w:rPr>
      </w:pPr>
      <w:r>
        <w:rPr>
          <w:rFonts w:eastAsia="Calibri" w:cs="Times New Roman" w:ascii="Times New Roman" w:hAnsi="Times New Roman"/>
          <w:i/>
          <w:iCs/>
          <w:color w:val="000000"/>
          <w:sz w:val="20"/>
          <w:szCs w:val="20"/>
        </w:rPr>
        <w:t>Ежегодно Почта России принимает около 2,3 млрд бумажных отправлений и обрабатывает около 200 млн посылок. Компания помогает переводить юридически значимую переписку в цифровой формат — в 2024 г. Почта доставила более 300 млн писем в электронном и гибридном формате.</w:t>
      </w:r>
    </w:p>
    <w:p>
      <w:pPr>
        <w:pStyle w:val="Normal"/>
        <w:spacing w:lineRule="auto" w:line="288" w:before="120" w:after="120"/>
        <w:jc w:val="both"/>
        <w:rPr>
          <w:rFonts w:ascii="Times New Roman" w:hAnsi="Times New Roman" w:eastAsia="Calibri" w:cs="Times New Roman"/>
          <w:i/>
          <w:i/>
          <w:iCs/>
          <w:color w:val="000000"/>
          <w:sz w:val="20"/>
          <w:szCs w:val="20"/>
          <w:shd w:fill="FFFFFF" w:val="clear"/>
        </w:rPr>
      </w:pPr>
      <w:r>
        <w:rPr>
          <w:rFonts w:eastAsia="Calibri" w:cs="Times New Roman" w:ascii="Times New Roman" w:hAnsi="Times New Roman"/>
          <w:i/>
          <w:iCs/>
          <w:color w:val="000000"/>
          <w:sz w:val="20"/>
          <w:szCs w:val="20"/>
          <w:shd w:fill="FFFFFF" w:val="clear"/>
        </w:rPr>
        <w:t>Почтово-логистический оператор следит за сохранностью всех отправлений, включая онлайн-заказы. На октябрь 2025 г. этот показатель достигает 99,99%.</w:t>
      </w:r>
    </w:p>
    <w:p>
      <w:pPr>
        <w:pStyle w:val="Normal"/>
        <w:jc w:val="both"/>
        <w:rPr>
          <w:rFonts w:ascii="Times New Roman" w:hAnsi="Times New Roman" w:cs="Times New Roman"/>
          <w:i/>
          <w:i/>
          <w:iCs/>
        </w:rPr>
      </w:pPr>
      <w:r>
        <w:rPr/>
      </w:r>
    </w:p>
    <w:p>
      <w:pPr>
        <w:pStyle w:val="Normal"/>
        <w:spacing w:lineRule="auto" w:line="288"/>
        <w:jc w:val="both"/>
        <w:rPr>
          <w:rFonts w:ascii="Times New Roman" w:hAnsi="Times New Roman" w:eastAsia="Times New Roman" w:cs="Times New Roman"/>
          <w:b/>
          <w:i/>
          <w:i/>
          <w:iCs/>
        </w:rPr>
      </w:pPr>
      <w:r>
        <w:rPr>
          <w:rFonts w:eastAsia="Times New Roman" w:cs="Times New Roman" w:ascii="Times New Roman" w:hAnsi="Times New Roman"/>
          <w:b/>
          <w:i/>
          <w:iCs/>
        </w:rPr>
      </w:r>
    </w:p>
    <w:p>
      <w:pPr>
        <w:pStyle w:val="Normal"/>
        <w:spacing w:before="0" w:after="0"/>
        <w:jc w:val="both"/>
        <w:rPr>
          <w:rFonts w:ascii="Times New Roman" w:hAnsi="Times New Roman" w:eastAsia="Times New Roman"/>
          <w:b/>
          <w:bCs/>
          <w:sz w:val="24"/>
          <w:szCs w:val="24"/>
        </w:rPr>
      </w:pPr>
      <w:r>
        <w:rPr>
          <w:rFonts w:eastAsia="Times New Roman" w:ascii="Times New Roman" w:hAnsi="Times New Roman"/>
          <w:b/>
          <w:bCs/>
          <w:sz w:val="24"/>
          <w:szCs w:val="24"/>
        </w:rPr>
        <w:t>Пресс-служба АО «Почта России»</w:t>
      </w:r>
    </w:p>
    <w:p>
      <w:pPr>
        <w:pStyle w:val="Normal"/>
        <w:spacing w:before="0" w:after="0"/>
        <w:jc w:val="both"/>
        <w:rPr>
          <w:rFonts w:ascii="Times New Roman" w:hAnsi="Times New Roman" w:eastAsia="Times New Roman"/>
          <w:bCs/>
          <w:sz w:val="24"/>
          <w:szCs w:val="24"/>
        </w:rPr>
      </w:pPr>
      <w:r>
        <w:rPr>
          <w:rFonts w:eastAsia="Times New Roman" w:ascii="Times New Roman" w:hAnsi="Times New Roman"/>
          <w:bCs/>
          <w:sz w:val="24"/>
          <w:szCs w:val="24"/>
        </w:rPr>
        <w:t>Александра Овдина</w:t>
      </w:r>
    </w:p>
    <w:p>
      <w:pPr>
        <w:pStyle w:val="Normal"/>
        <w:spacing w:before="0" w:after="0"/>
        <w:jc w:val="both"/>
        <w:rPr>
          <w:rFonts w:ascii="Times New Roman" w:hAnsi="Times New Roman"/>
          <w:color w:val="000000"/>
          <w:sz w:val="24"/>
          <w:szCs w:val="24"/>
        </w:rPr>
      </w:pPr>
      <w:r>
        <w:rPr>
          <w:rFonts w:eastAsia="Times New Roman" w:ascii="Times New Roman" w:hAnsi="Times New Roman"/>
          <w:b w:val="false"/>
          <w:bCs/>
          <w:i w:val="false"/>
          <w:caps w:val="false"/>
          <w:smallCaps w:val="false"/>
          <w:color w:val="000000"/>
          <w:spacing w:val="0"/>
          <w:sz w:val="24"/>
          <w:szCs w:val="24"/>
        </w:rPr>
        <w:t>Раб. +7 (391) 219-0436 доб. 6631</w:t>
      </w:r>
    </w:p>
    <w:p>
      <w:pPr>
        <w:pStyle w:val="Normal"/>
        <w:spacing w:before="0" w:after="0"/>
        <w:jc w:val="both"/>
        <w:rPr>
          <w:rFonts w:ascii="Times New Roman" w:hAnsi="Times New Roman" w:eastAsia="Times New Roman"/>
          <w:bCs/>
          <w:sz w:val="24"/>
          <w:szCs w:val="24"/>
        </w:rPr>
      </w:pPr>
      <w:r>
        <w:rPr>
          <w:rFonts w:eastAsia="Times New Roman" w:ascii="Times New Roman" w:hAnsi="Times New Roman"/>
          <w:bCs/>
          <w:sz w:val="24"/>
          <w:szCs w:val="24"/>
        </w:rPr>
        <w:t>Тел. +7 (908) 213-11-10</w:t>
      </w:r>
    </w:p>
    <w:p>
      <w:pPr>
        <w:pStyle w:val="Normal"/>
        <w:spacing w:before="0" w:after="0"/>
        <w:jc w:val="both"/>
        <w:rPr/>
      </w:pPr>
      <w:bookmarkStart w:id="5" w:name="_Hlk219109036_Копия_1"/>
      <w:bookmarkEnd w:id="5"/>
      <w:r>
        <w:rPr>
          <w:rStyle w:val="Hyperlink"/>
          <w:rFonts w:eastAsia="Times New Roman" w:cs="Times New Roman" w:ascii="Times New Roman" w:hAnsi="Times New Roman"/>
          <w:b/>
          <w:i/>
          <w:iCs/>
          <w:color w:val="0000FF"/>
          <w:sz w:val="24"/>
          <w:szCs w:val="24"/>
          <w:u w:val="single"/>
        </w:rPr>
        <w:t>Ovdina-A</w:t>
      </w:r>
      <w:hyperlink r:id="rId3">
        <w:r>
          <w:rPr>
            <w:rStyle w:val="Style9"/>
            <w:rFonts w:eastAsia="Times New Roman" w:cs="Times New Roman" w:ascii="Times New Roman" w:hAnsi="Times New Roman"/>
            <w:b/>
            <w:i/>
            <w:iCs/>
            <w:color w:val="0000FF"/>
            <w:sz w:val="24"/>
            <w:szCs w:val="24"/>
            <w:u w:val="single"/>
          </w:rPr>
          <w:t>@russianpost.ru</w:t>
        </w:r>
      </w:hyperlink>
    </w:p>
    <w:p>
      <w:pPr>
        <w:pStyle w:val="Normal"/>
        <w:rPr/>
      </w:pPr>
      <w:r>
        <w:rPr/>
      </w:r>
    </w:p>
    <w:p>
      <w:pPr>
        <w:pStyle w:val="Normal"/>
        <w:widowControl/>
        <w:bidi w:val="0"/>
        <w:spacing w:lineRule="auto" w:line="259"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Arial">
    <w:charset w:val="01"/>
    <w:family w:val="swiss"/>
    <w:pitch w:val="variable"/>
  </w:font>
  <w:font w:name="Roboto">
    <w:charset w:val="01"/>
    <w:family w:val="auto"/>
    <w:pitch w:val="variable"/>
  </w:font>
</w:fonts>
</file>

<file path=word/settings.xml><?xml version="1.0" encoding="utf-8"?>
<w:settings xmlns:w="http://schemas.openxmlformats.org/wordprocessingml/2006/main">
  <w:zoom w:percent="124"/>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34789"/>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834789"/>
    <w:rPr>
      <w:color w:val="0563C1"/>
      <w:u w:val="single"/>
    </w:rPr>
  </w:style>
  <w:style w:type="paragraph" w:styleId="Style14">
    <w:name w:val="Заголовок"/>
    <w:basedOn w:val="Normal"/>
    <w:next w:val="BodyText"/>
    <w:qFormat/>
    <w:pPr>
      <w:keepNext w:val="true"/>
      <w:spacing w:before="240" w:after="120"/>
    </w:pPr>
    <w:rPr>
      <w:rFonts w:ascii="Arial" w:hAnsi="Arial"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5">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Arial" w:hAnsi="Arial" w:eastAsia="Tahoma" w:cs="Noto Sans"/>
      <w:sz w:val="28"/>
      <w:szCs w:val="28"/>
    </w:rPr>
  </w:style>
  <w:style w:type="paragraph" w:styleId="user1">
    <w:name w:val="Указатель (user)"/>
    <w:basedOn w:val="Normal"/>
    <w:qFormat/>
    <w:pPr>
      <w:suppressLineNumbers/>
    </w:pPr>
    <w:rPr>
      <w:rFonts w:cs="Noto Sans"/>
    </w:rPr>
  </w:style>
  <w:style w:type="paragraph" w:styleId="NormalWeb">
    <w:name w:val="Normal (Web)"/>
    <w:basedOn w:val="Normal"/>
    <w:uiPriority w:val="99"/>
    <w:unhideWhenUsed/>
    <w:qFormat/>
    <w:rsid w:val="00834789"/>
    <w:pPr>
      <w:spacing w:lineRule="auto" w:line="240" w:beforeAutospacing="1" w:afterAutospacing="1"/>
    </w:pPr>
    <w:rPr>
      <w:rFonts w:ascii="Times New Roman" w:hAnsi="Times New Roman" w:eastAsia="Times New Roman" w:cs="Times New Roman"/>
      <w:sz w:val="24"/>
      <w:szCs w:val="24"/>
      <w:lang w:eastAsia="ru-RU"/>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T_Glagoleva@russianpost.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16560-8CCA-4F62-8F29-87E6DC349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Application>LibreOffice/24.8.5.2$Linux_X86_64 LibreOffice_project/480$Build-2</Application>
  <AppVersion>15.0000</AppVersion>
  <Pages>2</Pages>
  <Words>370</Words>
  <Characters>2380</Characters>
  <CharactersWithSpaces>2758</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2026-04-14T08:02:00Z</dcterms:created>
  <dc:creator>Назарова Ольга Николаевна</dc:creator>
  <dc:description/>
  <dc:language>ru-RU</dc:language>
  <cp:lastModifiedBy/>
  <dcterms:modified xsi:type="dcterms:W3CDTF">2026-04-27T08:19:33Z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