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1F497D"/>
        </w:rPr>
      </w:pPr>
      <w:r>
        <w:rPr>
          <w:color w:val="1F497D"/>
        </w:rPr>
      </w:r>
      <w:bookmarkStart w:id="0" w:name="_Hlk219109036"/>
      <w:bookmarkStart w:id="1" w:name="_Hlk219109036"/>
      <w:bookmarkEnd w:id="1"/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>ПРЕСС-РЕЛИЗ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mc:AlternateContent>
                <mc:Choice Requires="wps">
                  <w:drawing>
                    <wp:anchor behindDoc="0" distT="12700" distB="12700" distL="12700" distR="13335" simplePos="0" locked="0" layoutInCell="1" allowOverlap="1" relativeHeight="3" wp14:anchorId="128F1BD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128F1BDF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16 апреля 2026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Клиенты Почты теперь могут застраховать домашних животных от укусов клеща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Почта России совместно с СОГАЗом и Страховым Домом ВСК запустили новый продукт для владельцев кошек и собак — страховую программу «Антиклещ для животных». Решение покрывает наиболее актуальные сезонные риски, связанные с активностью клещей.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Страховая защита включает полный перечень необходимых ветеринарных мероприятий: осмотр животного после укуса, удаление клеща в клинике, диагностику заболеваний, передающихся таким путём, а также последующее лечение. Для получения выплаты достаточно направить в страховую компанию документы с подтверждением из ветклиники, чеки об оплате услуг и банковские реквизиты.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питомец заболел из-за укуса клеща, в том числе получив такие опасные инфекции, как пироплазмоз (бабезиоз), эрлихиоз, боррелиоз, анаплазмоз или энцефалит, выплата на лечение и диагностику составит до 25 000 руб.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Полис сроком действия 12 месяцев обойдется владельцу в 550 руб. Оформить «Антиклещ для животных» можно в почтовых отделениях по всей России.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Страховой полис обеспечит финансовую защиту и станет для владельцев домашних животных полезным дополнением к необходимым мерам профилактики: своевременной обработке питомцев от клещей, использованию защитных комбинезонов и тщательному осмотру после прогулки.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Также в почтовых отделениях клиенты компании могут застраховать себя и близких от укуса клеща, приобрести лекарственный полис, </w:t>
      </w:r>
      <w:r>
        <w:rPr>
          <w:rFonts w:cs="Times New Roman" w:ascii="Times New Roman" w:hAnsi="Times New Roman"/>
          <w:sz w:val="24"/>
          <w:szCs w:val="24"/>
        </w:rPr>
        <w:t xml:space="preserve">позволяющий вернуть до 90% средств, потраченных на назначенные врачом препараты или поучаствовать в лесовосстановлении.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Cs/>
          <w:kern w:val="2"/>
          <w:sz w:val="24"/>
          <w:szCs w:val="24"/>
          <w14:ligatures w14:val="standardContextual"/>
        </w:rPr>
      </w:pPr>
      <w:r>
        <w:rPr>
          <w:rFonts w:eastAsia="Times New Roman" w:cs="Times New Roman" w:ascii="Times New Roman" w:hAnsi="Times New Roman"/>
          <w:b/>
          <w:iCs/>
          <w:kern w:val="2"/>
          <w:sz w:val="24"/>
          <w:szCs w:val="24"/>
          <w14:ligatures w14:val="standardContextual"/>
        </w:rPr>
      </w:r>
      <w:bookmarkStart w:id="2" w:name="_GoBack"/>
      <w:bookmarkStart w:id="3" w:name="_GoBack"/>
      <w:bookmarkEnd w:id="3"/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>Страховая группа «СОГАЗ»</w:t>
      </w:r>
      <w:r>
        <w:rPr>
          <w:rFonts w:cs="Times New Roman" w:ascii="Times New Roman" w:hAnsi="Times New Roman"/>
          <w:i/>
          <w:iCs/>
        </w:rPr>
        <w:t xml:space="preserve"> основана в 1993 году. Федеральная компания предлагает более 100 программ страхования для частных лиц и предприятий разных сфер деятельности. Надежность и финансовая устойчивость страховщика подтверждены ведущими рейтинговыми агентствами. Региональная сеть Группы включает в себя более 1000 подразделений и офисов продаж по всей России.</w:t>
      </w:r>
    </w:p>
    <w:p>
      <w:pPr>
        <w:pStyle w:val="Normal"/>
        <w:spacing w:beforeAutospacing="1" w:afterAutospacing="1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>Страховой Дом ВСК</w:t>
      </w:r>
      <w:r>
        <w:rPr>
          <w:rFonts w:cs="Times New Roman" w:ascii="Times New Roman" w:hAnsi="Times New Roman"/>
          <w:i/>
          <w:iCs/>
        </w:rPr>
        <w:t xml:space="preserve"> работает с 1992 года и является универсальной страховой компанией, предоставляющей услуги физическим и юридическим лицам на всей территории России. Компания стабильно входит в ТОП-5 страховщиков страны по сборам. На сегодняшний день более 33 млн человек и 500 тысяч организаций воспользовались продуктами и услугами ВСК. Региональная сеть компании насчитывает свыше 400 офисов. Надежность и финансовая устойчивость компании подтверждены рейтингами ведущих российских агентств: «ruAA» по версии рейтингового агентства «Эксперт РА», BBB+ по версии АКРА, АА+.ru по версии НКР. Сайт – </w:t>
      </w:r>
      <w:hyperlink r:id="rId3">
        <w:r>
          <w:rPr>
            <w:rStyle w:val="Hyperlink"/>
            <w:rFonts w:cs="Times New Roman" w:ascii="Times New Roman" w:hAnsi="Times New Roman"/>
            <w:i/>
            <w:iCs/>
          </w:rPr>
          <w:t>www.vsk.ru</w:t>
        </w:r>
      </w:hyperlink>
      <w:r>
        <w:rPr>
          <w:rFonts w:cs="Times New Roman" w:ascii="Times New Roman" w:hAnsi="Times New Roman"/>
          <w:i/>
          <w:iCs/>
        </w:rPr>
        <w:t>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i/>
          <w:i/>
          <w:iCs/>
        </w:rPr>
      </w:pPr>
      <w:r>
        <w:rPr>
          <w:rFonts w:eastAsia="Times New Roman" w:cs="Times New Roman" w:ascii="Times New Roman" w:hAnsi="Times New Roman"/>
          <w:b/>
          <w:i/>
          <w:iCs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219-0436 доб. 6631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before="0" w:after="0"/>
        <w:jc w:val="both"/>
        <w:rPr/>
      </w:pPr>
      <w:bookmarkStart w:id="4" w:name="_Hlk219109036_Копия_1"/>
      <w:bookmarkEnd w:id="4"/>
      <w:r>
        <w:rPr>
          <w:rStyle w:val="Hyperlink"/>
          <w:rFonts w:eastAsia="Times New Roman" w:cs="Times New Roman" w:ascii="Times New Roman" w:hAnsi="Times New Roman"/>
          <w:b/>
          <w:i/>
          <w:iCs/>
          <w:color w:val="0000FF"/>
          <w:sz w:val="24"/>
          <w:szCs w:val="24"/>
          <w:u w:val="single"/>
        </w:rPr>
        <w:t>Ovdina-A</w:t>
      </w:r>
      <w:hyperlink r:id="rId4">
        <w:r>
          <w:rPr>
            <w:rStyle w:val="Style9"/>
            <w:rFonts w:eastAsia="Times New Roman" w:cs="Times New Roman" w:ascii="Times New Roman" w:hAnsi="Times New Roman"/>
            <w:b/>
            <w:i/>
            <w:iCs/>
            <w:color w:val="0000FF"/>
            <w:sz w:val="24"/>
            <w:szCs w:val="24"/>
            <w:u w:val="single"/>
          </w:rPr>
          <w:t>@russianpost.ru</w:t>
        </w:r>
      </w:hyperlink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478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34789"/>
    <w:rPr>
      <w:color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8347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vsk.ru/" TargetMode="External"/><Relationship Id="rId4" Type="http://schemas.openxmlformats.org/officeDocument/2006/relationships/hyperlink" Target="mailto:T_Glagoleva@russianpost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6560-8CCA-4F62-8F29-87E6DC34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LibreOffice/24.8.5.2$Linux_X86_64 LibreOffice_project/480$Build-2</Application>
  <AppVersion>15.0000</AppVersion>
  <Pages>2</Pages>
  <Words>483</Words>
  <Characters>3243</Characters>
  <CharactersWithSpaces>3727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2026-04-14T08:02:00Z</dcterms:created>
  <dc:creator>Назарова Ольга Николаевна</dc:creator>
  <dc:description/>
  <dc:language>ru-RU</dc:language>
  <cp:lastModifiedBy/>
  <dcterms:modified xsi:type="dcterms:W3CDTF">2026-04-15T15:21:18Z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