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022865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B06E2"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п.</w:t>
      </w:r>
      <w:r w:rsidR="00AD3B4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Абан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№ 5-40Р</w:t>
      </w:r>
    </w:p>
    <w:p w:rsidR="009B06E2" w:rsidRPr="002B2ADE" w:rsidRDefault="009B06E2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2025 год и плановый период 2026-2027 годов</w:t>
      </w:r>
    </w:p>
    <w:p w:rsidR="009B06E2" w:rsidRPr="002B2ADE" w:rsidRDefault="009B06E2" w:rsidP="009B06E2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статьями 24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33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 районный  Совет депутатов решил: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бюджет Абанского района на 2025 год и плановый период 2026 - 2027 годов со следующими показателями: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1 397 856,0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1 397 835,6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профицит  районного бюджета в сумме 20,4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20,4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2026 год   в   сумме 1 258 466,0  тыс. рублей и на 2027 год в сумме 1 256 772,3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2026 год в сумме  1 248 459,2 тыс. рублей, в том числе условно утвержденные расходы в сумме 19 791,5 тыс. рублей и на 2027 год в сумме 1 256 323,7 тыс. рублей, в том числе условно утвержденные расходы в сумме 33 863,0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профицит районного бюджета на 2026 год в сумме 10 006,8 тыс. рублей и на 2027 год в сумме 448,6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lastRenderedPageBreak/>
        <w:t>4) источники внутреннего финансирования дефицита районного бюджета на 2026 год в сумме 10 006,8 тыс. рублей и на 2027 год в сумме 448,6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2. Ставка отчислений от прибыли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2025 год и плановый период 2026-2027 годов ставка отчислений от прибыли муниципальных унитарных предприятий в районный бюджет устанавливается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3. 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2B2ADE">
        <w:rPr>
          <w:rFonts w:ascii="Times New Roman" w:hAnsi="Times New Roman" w:cs="Times New Roman"/>
          <w:sz w:val="28"/>
          <w:szCs w:val="28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4. Нормативы распределения доходов между краевым бюджетом, районным бюджетом  и бюджетами поселений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между краевым бюджетом, районным бюджетом и бюджетами поселений на 2025 год и плановый период 2026-2027 годов согласно приложению 16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5. Доходы районного бюджета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доходы районного бюджета на 2025 год и плановый период 2026-2027 годов  согласно приложению 2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6. Распределение на 2025 год и плановый период 2026-2027 годов расходов районного бюджета по бюджетной классификации Российской Федерации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2026-2027  годов согласно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приложению 3 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ведомственную структуру расходов районного бюджета на 2025 год и плановый период 2026-2027 годов согласно приложению 4 к настоящему Решению;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Pr="002B2ADE">
        <w:rPr>
          <w:rFonts w:ascii="Times New Roman" w:hAnsi="Times New Roman" w:cs="Times New Roman"/>
          <w:sz w:val="28"/>
          <w:szCs w:val="28"/>
        </w:rPr>
        <w:t>2025 год и плановый период 2026-2027 годов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Pr="002B2ADE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2B2ADE">
        <w:rPr>
          <w:rFonts w:ascii="Times New Roman" w:hAnsi="Times New Roman" w:cs="Times New Roman"/>
          <w:sz w:val="28"/>
          <w:szCs w:val="28"/>
        </w:rPr>
        <w:t>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7. Публичные нормативные обязательства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2025-2027 годы в сумме 3 700,0 тыс. рублей ежегодно.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 8. Изменение показателей сводной бюджетной росписи районного бюджета в 2025 году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руководитель финансового управления администрации Абанского района вправе в ходе исполнения настоящего Решения вносить изменения в сводную бюджетную роспись районного бюджета на 2025 год и плановый период 2026-2027 годов без внесения изменений в настоящее Решение: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казенным учреждениям), осуществляемой муниципальными казенными учреждениями, по состоянию на 1 января 2025 года, которые направляются на обеспечение деятельности данных учреждений в соответствии с бюджетной сметой; 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в случаях образования, переименования, реорганизации, ликвидации,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соответствующих органов местного самоуправления Абанского района;</w:t>
      </w:r>
    </w:p>
    <w:p w:rsidR="009B06E2" w:rsidRPr="002B2ADE" w:rsidRDefault="009B06E2" w:rsidP="009B06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B2ADE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(возмещения) исполнения муниципального социального заказа на оказание муниципальных услуг в социальной сфере;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8) на сумму средств межбюджетных трансфертов, передаваемых из краевого бюджета и бюджетов поселений Абанского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бюджетами поселений Абанского района, и уведомлений главных распорядителей средств краевого бюджета и бюджетов поселений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Абанского района, а также в случае сокращения (возврата при отсутствии потребности) указанных межбюджетных трансфертов;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12) в пределах общего объема средств межбюджетных трансфертов, предусмотренных бюджету муниципального образования Абанского района настоящим Решением, в случае перераспределения сумм указанных межбюджетных трансфертов на основании отчетов органа местного самоуправления муниципального образования Абанского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13) в пределах объема соответствующего межбюджетного трансферта, предусмотренного настоящим Решения, в случае перераспределения сумм указанного межбюджетного трансферта между муниципальными образованиями Абанского района на основании отчетов органов местного самоуправления муниципальных образований Абанского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14)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9.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Абанского района, размеры должностных окладов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Абанского района, проиндексированные в 2020, 2022, 2023 годах, увеличиваются (индексируются) в 2025 году и плановом периоде 2026-2027 на коэффициент,  равный 1.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10. Общая предельная численность работников органов местного самоуправления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2025 году 58 штатных единиц, в 2026 году 58 штатных единиц, в 2027 году 58 штатных единиц.</w:t>
      </w:r>
    </w:p>
    <w:p w:rsidR="009B06E2" w:rsidRPr="002B2ADE" w:rsidRDefault="009B06E2" w:rsidP="009B06E2">
      <w:pPr>
        <w:pStyle w:val="a4"/>
        <w:ind w:firstLine="709"/>
        <w:jc w:val="both"/>
        <w:rPr>
          <w:sz w:val="28"/>
          <w:szCs w:val="28"/>
        </w:rPr>
      </w:pPr>
      <w:r w:rsidRPr="002B2ADE">
        <w:rPr>
          <w:rStyle w:val="aa"/>
          <w:b w:val="0"/>
          <w:sz w:val="28"/>
          <w:szCs w:val="28"/>
        </w:rPr>
        <w:t>Статья 11. Индексация заработной платы работников районных муниципальных учреждений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увеличивается (индексируется) в 2025 году и плановом периоде 2026</w:t>
      </w:r>
      <w:r w:rsidRPr="002B2ADE">
        <w:rPr>
          <w:rFonts w:ascii="Times New Roman" w:hAnsi="Times New Roman" w:cs="Times New Roman"/>
          <w:i/>
          <w:sz w:val="28"/>
          <w:szCs w:val="28"/>
        </w:rPr>
        <w:t>–</w:t>
      </w:r>
      <w:r w:rsidRPr="002B2ADE">
        <w:rPr>
          <w:rFonts w:ascii="Times New Roman" w:hAnsi="Times New Roman" w:cs="Times New Roman"/>
          <w:sz w:val="28"/>
          <w:szCs w:val="28"/>
        </w:rPr>
        <w:t>2027 годов на коэффициент, равный 1.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12. Особенности использования средств, получаемых муниципальными казенными учреждениями в 2025 году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Доходы от сдачи в аренду имущества, находящегося в муниципальной собственности и переданного в оперативное управление муниципальным районным казенным учреждениям, от платных услуг, оказываемых муниципальными районными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районными казенными учреждениями (далее по тексту статьи –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муниципальных районных казенных учреждений, на обеспечение их деятельности в соответствии с бюджетной сметой.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планируемому,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         Статья 13. Особенности исполнения районного бюджета в 2025 году</w:t>
      </w: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2025 года остатки межбюджетных трансфертов, предоставленных бюджетам муниципальных образований Абанского района за счет средств федерального,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10 рабочих дней 2025 года.</w:t>
      </w: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2025, за исключением неиспользованных остатков межбюджетных трансфертов, полученных из краевого бюджета, в том числе за счет федеральных средств, и бюджетов поселений в форме субсидий, субвенций и иных межбюджетных трансфертов, имеющих целевое назначение, а также иных остатков, направляемых на цели, определенные бюджетным законодательством Российской Федерации, могут направляться: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в ходе исполнения районного бюджета в 2025 году, в полном объеме;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2025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B06E2" w:rsidRPr="002B2ADE" w:rsidRDefault="009B06E2" w:rsidP="009B06E2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бюджета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представленных до 10 февраля 2025 года главными распорядителями средств районного бюджета в финансовое управление администрации Абанского района.</w:t>
      </w: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2025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бюджета за счет утвержденных им бюджетных ассигнований на 2025 год.</w:t>
      </w:r>
    </w:p>
    <w:p w:rsidR="009B06E2" w:rsidRPr="002B2ADE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14. Использование отдельных неналоговых доходов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456553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B06E2" w:rsidRPr="002B2ADE">
        <w:rPr>
          <w:rFonts w:ascii="Times New Roman" w:hAnsi="Times New Roman" w:cs="Times New Roman"/>
          <w:sz w:val="28"/>
          <w:szCs w:val="28"/>
        </w:rPr>
        <w:t>15. Межбюджетные трансферты бюджетам поселений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Направить: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дотации бюджетам поселений Абанского района на 2025 в сумме 109 454,9 тыс. рублей, на 2026 год в сумме 69 411,7 тыс. рублей, на 2027 год в сумме 70 005,5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поселений (муниципальных округов, городских округов) в 2025 году в сумме  109 454,9 тыс. рублей, на 2026 год в сумме 69 411,7 тыс. рублей, на 2027 год в сумме 70 005,5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2) субвенции бюджетам поселений на 2025 год в сумме 2 701,8 тыс.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рублей, на 2026 год в сумме 2 961,5 тыс. рублей, на 2027 год в сумме 129,7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Pr="002B2ADE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на 2025 год в сумме 7</w:t>
      </w:r>
      <w:r w:rsidR="00FB3458">
        <w:rPr>
          <w:rFonts w:ascii="Times New Roman" w:hAnsi="Times New Roman" w:cs="Times New Roman"/>
          <w:sz w:val="28"/>
          <w:szCs w:val="28"/>
        </w:rPr>
        <w:t>8 190,0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 на 2026 год в сумме 25 027,2 тыс. рублей, на 2027 год в сумме 20 666,2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межбюджетные трансферты бюджетам поселений на обеспечение сбалансированности бюджетов поселений на 2025 год в сумме 63 662,4 тыс.рублей,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на  2026 год в сумме 25 027,2  тыс. рублей, на 2027 год в сумме 20 666,2 тыс.рублей;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2025 год в сумме 6 330,0 тыс. рублей; </w:t>
      </w:r>
    </w:p>
    <w:p w:rsidR="009B06E2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19, 19.1, 26 пункта 1, части 1 статьи 15 Федерального закона от 06.10.2003 № 131-ФЗ «Об общих принципах местного самоуправления в Российской Федерации»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2025 год в сумме 4 676,5 тыс. рублей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6D19" w:rsidRPr="002B2ADE" w:rsidRDefault="00556D1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6D19">
        <w:rPr>
          <w:rFonts w:ascii="Times New Roman" w:hAnsi="Times New Roman" w:cs="Times New Roman"/>
          <w:color w:val="000000"/>
          <w:sz w:val="28"/>
          <w:szCs w:val="28"/>
        </w:rPr>
        <w:t>на оплату (возмещение) расходов на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объектов водоснабжения, предназначенных для обслуживания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3 521,1 тыс.рублей.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В случае предоставления районному бюджету  из краевого бюджета межбюджетных трансфертов, имеющих целевое назначение, бюджетам поселений могут быть предоставлены иные межбюджетные трансферты из районного бюджета на те же цели.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Нормативными правовыми актами администрации Абанского района бюджетам поселений Абанского района в 2025 году могут быть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предусмотрены иные межбюджетные  трансферты, предоставляемые из районного бюджета, в целях реализации мероприятий, определенных постановлениями администрации Абанского района.</w:t>
      </w:r>
    </w:p>
    <w:p w:rsidR="009B06E2" w:rsidRPr="002B2ADE" w:rsidRDefault="009B06E2" w:rsidP="009B06E2">
      <w:pPr>
        <w:pStyle w:val="ae"/>
        <w:widowControl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Цели и условия предоставления указанных иных межбюджетных трансфертов устанавливаются администрацией Абанского района.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928" w:hanging="21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Установить:</w:t>
      </w:r>
    </w:p>
    <w:p w:rsidR="009B06E2" w:rsidRPr="002B2ADE" w:rsidRDefault="009B06E2" w:rsidP="009B06E2">
      <w:pPr>
        <w:pStyle w:val="ae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критерий бюджетной обеспеченности поселений устанавливается в планируемом финансовом году в размере 1,9, в последующие годы в размере 1,4;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5. Утвердить распределение: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дотаций на выравнивание бюджетной обеспеченности поселений Абанского района на 2025 год и плановый период 2026- 2027 годов согласно </w:t>
      </w:r>
      <w:hyperlink w:anchor="P102285" w:history="1">
        <w:r w:rsidRPr="002B2ADE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6,7 к настоящему Решению. </w:t>
      </w:r>
      <w:bookmarkStart w:id="0" w:name="_Hlk21370132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</w:t>
      </w:r>
      <w:r w:rsidRPr="002B2ADE">
        <w:rPr>
          <w:rFonts w:ascii="Times New Roman" w:hAnsi="Times New Roman" w:cs="Times New Roman"/>
          <w:sz w:val="28"/>
          <w:szCs w:val="28"/>
        </w:rPr>
        <w:t>бюджетам поселений Абанского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согласно приложениям 8,9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Абанского района на  2025 год и плановый период 2026-2027 годов согласно приложениям 10-12</w:t>
      </w:r>
      <w:r w:rsidR="00841415">
        <w:rPr>
          <w:rFonts w:ascii="Times New Roman" w:hAnsi="Times New Roman" w:cs="Times New Roman"/>
          <w:sz w:val="28"/>
          <w:szCs w:val="28"/>
        </w:rPr>
        <w:t>,18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12876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</w:t>
      </w:r>
      <w:r w:rsidR="00F12876" w:rsidRPr="001C0829">
        <w:rPr>
          <w:rFonts w:ascii="Times New Roman" w:hAnsi="Times New Roman" w:cs="Times New Roman"/>
          <w:sz w:val="28"/>
          <w:szCs w:val="28"/>
        </w:rPr>
        <w:t>:</w:t>
      </w:r>
    </w:p>
    <w:p w:rsidR="001C0829" w:rsidRPr="001C0829" w:rsidRDefault="001C0829" w:rsidP="001C0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C082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0829"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5101F2">
        <w:rPr>
          <w:sz w:val="28"/>
          <w:szCs w:val="28"/>
        </w:rPr>
        <w:t xml:space="preserve"> </w:t>
      </w:r>
      <w:r w:rsidRPr="001C0829">
        <w:rPr>
          <w:rFonts w:ascii="Times New Roman" w:hAnsi="Times New Roman" w:cs="Times New Roman"/>
          <w:sz w:val="28"/>
          <w:szCs w:val="28"/>
        </w:rPr>
        <w:t>дотации поселениям из районного фонда финансовой поддержки поселений за счет средств краевого бюджета согласно приложению 13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6E2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353E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3E9">
        <w:rPr>
          <w:rFonts w:ascii="Times New Roman" w:hAnsi="Times New Roman" w:cs="Times New Roman"/>
          <w:sz w:val="28"/>
          <w:szCs w:val="28"/>
        </w:rPr>
        <w:t xml:space="preserve"> определения размера субвенции </w:t>
      </w:r>
      <w:r w:rsidR="009B06E2" w:rsidRPr="001C0829">
        <w:rPr>
          <w:rFonts w:ascii="Times New Roman" w:hAnsi="Times New Roman" w:cs="Times New Roman"/>
          <w:sz w:val="28"/>
          <w:szCs w:val="28"/>
        </w:rPr>
        <w:t>бюджетам поселений Абанского района</w:t>
      </w:r>
      <w:r w:rsidR="002E5FD4">
        <w:rPr>
          <w:rFonts w:ascii="Times New Roman" w:hAnsi="Times New Roman" w:cs="Times New Roman"/>
          <w:sz w:val="28"/>
          <w:szCs w:val="28"/>
        </w:rPr>
        <w:t xml:space="preserve"> из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 </w:t>
      </w:r>
      <w:r w:rsidR="002E5FD4" w:rsidRPr="004353E9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</w:t>
      </w:r>
      <w:r w:rsidR="00F12876" w:rsidRPr="002E5FD4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по первичному воинскому учету  на территориях, где отсутствуют военные комиссариаты </w:t>
      </w:r>
      <w:r w:rsidR="009B06E2" w:rsidRPr="002E5FD4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F12876" w:rsidRPr="002E5FD4">
        <w:rPr>
          <w:rFonts w:ascii="Times New Roman" w:hAnsi="Times New Roman" w:cs="Times New Roman"/>
          <w:sz w:val="28"/>
          <w:szCs w:val="28"/>
        </w:rPr>
        <w:t>ю</w:t>
      </w:r>
      <w:r w:rsidR="009B06E2" w:rsidRPr="002E5FD4">
        <w:rPr>
          <w:rFonts w:ascii="Times New Roman" w:hAnsi="Times New Roman" w:cs="Times New Roman"/>
          <w:sz w:val="28"/>
          <w:szCs w:val="28"/>
        </w:rPr>
        <w:t xml:space="preserve"> 14 к настоящему </w:t>
      </w:r>
      <w:bookmarkEnd w:id="0"/>
      <w:r w:rsidR="009B06E2" w:rsidRPr="002E5FD4">
        <w:rPr>
          <w:rFonts w:ascii="Times New Roman" w:hAnsi="Times New Roman" w:cs="Times New Roman"/>
          <w:sz w:val="28"/>
          <w:szCs w:val="28"/>
        </w:rPr>
        <w:t>Решению</w:t>
      </w:r>
      <w:r w:rsidR="002E5FD4">
        <w:rPr>
          <w:rFonts w:ascii="Times New Roman" w:hAnsi="Times New Roman" w:cs="Times New Roman"/>
          <w:sz w:val="28"/>
          <w:szCs w:val="28"/>
        </w:rPr>
        <w:t>.</w:t>
      </w:r>
      <w:r w:rsidR="00006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Default="009B06E2" w:rsidP="009B06E2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0829" w:rsidRPr="001C0829" w:rsidRDefault="001C0829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16.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B2AD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9B06E2" w:rsidRPr="002B2ADE" w:rsidRDefault="009B06E2" w:rsidP="009B06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статьи, предоставляются в порядке, установленном нормативными правовыми актами администрации Абанского района. 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В случае предоставления в 2025 году районному бюджету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 xml:space="preserve">из краевого бюджета межбюджетных трансфертов, имеющих целевое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Субсидии, указанные в настоящем пункте, предоставляются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в порядке, установленном нормативными правовыми актами администрации Абанского района.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17.  Дорожный фонд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1.Утвердить объем бюджетных ассигнований дорожного фонда Абанского района на 2025 год в сумме 853,4 тыс. рублей,  на 2026 год в сумме 887,5 тыс. рублей, на 2027 год в сумме 923,0 тыс. рублей.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18. Резервный фонд администрации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районного бюджета  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Абанского района на 2025 год в сумме 2 000,0 тыс. рублей, на 2026 год в сумме 924,5 тыс. рублей, на 2027 год в сумме 4 615,8 тыс</w:t>
      </w:r>
      <w:r w:rsidRPr="002B2ADE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 района ежеквартально информирует районный Совет депутатов о расходовании средств резервного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2B2AD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19. Муниципальные внутренние заимствования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Абанского района на 2025 год и плановый период 2026-2027 годов согласно приложению 1</w:t>
      </w:r>
      <w:r w:rsidRPr="002B2ADE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 Статья 20. Муниципальный внутренний долг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 Установить    верхний предел   муниципального внутреннего  долга Абанского  района  по долговым обязательствам Абанского района: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  1   января   2026   года  в   сумме 0,0 тыс. рублей,   в   том   числе   по муниципальным гарантиям  0,0 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  1   января   2027  года  в   сумме  0,0   тыс.   рублей,   в   том   числе   по муниципальным гарантиям  0,0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на   1   января   2028   года  в   сумме 0,0   тыс.   рублей,   в   том   числе   по муниципальным гарантиям  0,0 тыс. рублей; </w:t>
      </w:r>
    </w:p>
    <w:p w:rsidR="009B06E2" w:rsidRPr="002B2ADE" w:rsidRDefault="009B06E2" w:rsidP="009B06E2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2. Утвердить программу муниципальных гарантий Абанского района в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валюте Российской Федерации на 2025 год и плановый период </w:t>
      </w:r>
      <w:r w:rsidRPr="002B2ADE">
        <w:rPr>
          <w:rFonts w:ascii="Times New Roman" w:hAnsi="Times New Roman" w:cs="Times New Roman"/>
          <w:sz w:val="28"/>
          <w:szCs w:val="28"/>
        </w:rPr>
        <w:br/>
        <w:t xml:space="preserve">2026 - 2027 годов согласно приложению 17 к настоящему Решению. </w:t>
      </w:r>
    </w:p>
    <w:p w:rsidR="009B06E2" w:rsidRPr="002B2ADE" w:rsidRDefault="009B06E2" w:rsidP="009B06E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муниципальных гарантий по возможным гарантийным случаям на 2025 год и плановый период 2026-2027 годов не предусмотрены.</w:t>
      </w:r>
    </w:p>
    <w:p w:rsidR="009B06E2" w:rsidRPr="002B2ADE" w:rsidRDefault="009B06E2" w:rsidP="009B06E2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21. Перечень защищенных статей расходов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на 2025 год и плановый период 2026-2027 годов перечень финансирования первоочередных статей расходов за счет средств местного бюджета: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фонд оплаты труда, публичные нормативные обязательства, стоимость 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22. Вступление в силу настоящего Решения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2025 года, но не ранее дня, следующего за днем его официального опубликования в районной газете «Красное знамя».</w:t>
      </w:r>
    </w:p>
    <w:p w:rsidR="002D5C50" w:rsidRPr="002B2ADE" w:rsidRDefault="002D5C50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________________ И.И.</w:t>
            </w:r>
            <w:r w:rsidR="00AD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</w:p>
        </w:tc>
        <w:tc>
          <w:tcPr>
            <w:tcW w:w="4785" w:type="dxa"/>
          </w:tcPr>
          <w:p w:rsidR="002D5C50" w:rsidRPr="002B2ADE" w:rsidRDefault="002D5C50" w:rsidP="00AD3B47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AD3B47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AD3B47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AD3B47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  <w:r w:rsidR="00AD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865">
              <w:rPr>
                <w:rFonts w:ascii="Times New Roman" w:hAnsi="Times New Roman" w:cs="Times New Roman"/>
                <w:sz w:val="28"/>
                <w:szCs w:val="28"/>
              </w:rPr>
              <w:t>Войнич</w:t>
            </w:r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11"/>
      <w:footerReference w:type="default" r:id="rId12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CD" w:rsidRDefault="000F75CD">
      <w:r>
        <w:separator/>
      </w:r>
    </w:p>
  </w:endnote>
  <w:endnote w:type="continuationSeparator" w:id="0">
    <w:p w:rsidR="000F75CD" w:rsidRDefault="000F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101E8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C082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0829" w:rsidRDefault="001C0829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1C0829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CD" w:rsidRDefault="000F75CD">
      <w:r>
        <w:separator/>
      </w:r>
    </w:p>
  </w:footnote>
  <w:footnote w:type="continuationSeparator" w:id="0">
    <w:p w:rsidR="000F75CD" w:rsidRDefault="000F7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1"/>
  </w:num>
  <w:num w:numId="14">
    <w:abstractNumId w:val="20"/>
  </w:num>
  <w:num w:numId="15">
    <w:abstractNumId w:val="5"/>
  </w:num>
  <w:num w:numId="16">
    <w:abstractNumId w:val="26"/>
  </w:num>
  <w:num w:numId="17">
    <w:abstractNumId w:val="34"/>
  </w:num>
  <w:num w:numId="18">
    <w:abstractNumId w:val="33"/>
  </w:num>
  <w:num w:numId="19">
    <w:abstractNumId w:val="42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7"/>
  </w:num>
  <w:num w:numId="26">
    <w:abstractNumId w:val="28"/>
  </w:num>
  <w:num w:numId="27">
    <w:abstractNumId w:val="41"/>
  </w:num>
  <w:num w:numId="28">
    <w:abstractNumId w:val="21"/>
  </w:num>
  <w:num w:numId="29">
    <w:abstractNumId w:val="13"/>
  </w:num>
  <w:num w:numId="30">
    <w:abstractNumId w:val="17"/>
  </w:num>
  <w:num w:numId="31">
    <w:abstractNumId w:val="35"/>
  </w:num>
  <w:num w:numId="32">
    <w:abstractNumId w:val="19"/>
  </w:num>
  <w:num w:numId="33">
    <w:abstractNumId w:val="40"/>
  </w:num>
  <w:num w:numId="34">
    <w:abstractNumId w:val="25"/>
  </w:num>
  <w:num w:numId="35">
    <w:abstractNumId w:val="39"/>
  </w:num>
  <w:num w:numId="36">
    <w:abstractNumId w:val="27"/>
  </w:num>
  <w:num w:numId="37">
    <w:abstractNumId w:val="36"/>
  </w:num>
  <w:num w:numId="38">
    <w:abstractNumId w:val="8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0"/>
  </w:num>
  <w:num w:numId="43">
    <w:abstractNumId w:val="4"/>
  </w:num>
  <w:num w:numId="44">
    <w:abstractNumId w:val="2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5CD"/>
    <w:rsid w:val="000F7D06"/>
    <w:rsid w:val="001004F7"/>
    <w:rsid w:val="001008E5"/>
    <w:rsid w:val="00100EA4"/>
    <w:rsid w:val="00101E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6553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6D19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3B47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C291-6520-4FEE-909A-1A83FEB6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12</Pages>
  <Words>4049</Words>
  <Characters>23083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27078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2024-11-12T04:27:00Z</cp:lastPrinted>
  <dcterms:created xsi:type="dcterms:W3CDTF">2024-11-12T03:14:00Z</dcterms:created>
  <dcterms:modified xsi:type="dcterms:W3CDTF">2024-12-12T01:31:00Z</dcterms:modified>
</cp:coreProperties>
</file>