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sz w:val="28"/>
          <w:szCs w:val="28"/>
        </w:rPr>
      </w:pPr>
      <w:r>
        <w:rPr>
          <w:rFonts w:ascii="Times New Roman" w:hAnsi="Times New Roman"/>
          <w:b/>
          <w:sz w:val="28"/>
          <w:szCs w:val="28"/>
        </w:rPr>
        <w:t xml:space="preserve">МЕТОДИЧЕСКИЕ РЕКОМЕНДАЦИИ</w:t>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p>
    <w:p>
      <w:pPr>
        <w:ind w:firstLine="0"/>
        <w:jc w:val="center"/>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p>
    <w:p>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p>
    <w:p>
      <w:pPr>
        <w:pStyle w:val="af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jc w:val="center"/>
        <w:rPr>
          <w:rFonts w:ascii="Times New Roman" w:hAnsi="Times New Roman"/>
          <w:sz w:val="28"/>
          <w:szCs w:val="28"/>
        </w:rPr>
      </w:pPr>
    </w:p>
    <w:p>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p>
    <w:p>
      <w:pPr>
        <w:pStyle w:val="af7"/>
        <w:numPr>
          <w:numId w:val="1"/>
          <w:ilvl w:val="0"/>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t xml:space="preserve">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history="1">
        <w:r>
          <w:rPr>
            <w:rStyle w:val="aff5"/>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p>
    <w:p>
      <w:pPr>
        <w:pStyle w:val="ConsPlusNormal"/>
        <w:numPr>
          <w:numId w:val="2"/>
          <w:ilvl w:val="0"/>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af7"/>
        <w:numPr>
          <w:numId w:val="3"/>
          <w:ilvl w:val="0"/>
        </w:numPr>
        <w:tabs>
          <w:tab w:val="left" w:pos="0"/>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p>
    <w:p>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p>
    <w:p>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p>
    <w:p>
      <w:pPr>
        <w:tabs>
          <w:tab w:val="left" w:pos="1134"/>
        </w:tabs>
        <w:ind w:firstLine="567"/>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p>
    <w:p>
      <w:pPr>
        <w:pStyle w:val="af7"/>
        <w:tabs>
          <w:tab w:val="left" w:pos="851"/>
          <w:tab w:val="left" w:pos="1134"/>
        </w:tabs>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p>
    <w:p>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p>
    <w:p>
      <w:pPr>
        <w:tabs>
          <w:tab w:val="left" w:pos="567"/>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p>
    <w:p>
      <w:pPr>
        <w:tabs>
          <w:tab w:val="left" w:pos="567"/>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p>
    <w:p>
      <w:pPr>
        <w:pStyle w:val="af7"/>
        <w:numPr>
          <w:numId w:val="1"/>
          <w:ilvl w:val="0"/>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t xml:space="preserve">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p>
    <w:p>
      <w:pPr>
        <w:tabs>
          <w:tab w:val="left" w:pos="567"/>
          <w:tab w:val="left" w:pos="1276"/>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p>
    <w:p>
      <w:pPr>
        <w:pStyle w:val="af7"/>
        <w:numPr>
          <w:numId w:val="1"/>
          <w:ilvl w:val="0"/>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af7"/>
        <w:numPr>
          <w:numId w:val="1"/>
          <w:ilvl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af7"/>
        <w:numPr>
          <w:numId w:val="1"/>
          <w:ilvl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af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p>
    <w:p>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p>
    <w:p>
      <w:pPr>
        <w:pStyle w:val="af7"/>
        <w:numPr>
          <w:numId w:val="1"/>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pPr>
        <w:tabs>
          <w:tab w:val="left" w:pos="567"/>
        </w:tabs>
        <w:ind w:firstLine="567"/>
        <w:rPr>
          <w:rFonts w:ascii="Times New Roman" w:hAnsi="Times New Roman"/>
          <w:b/>
          <w:sz w:val="28"/>
          <w:szCs w:val="28"/>
        </w:rPr>
      </w:pPr>
      <w:r>
        <w:rPr>
          <w:rFonts w:ascii="Times New Roman" w:hAnsi="Times New Roman"/>
          <w:b/>
          <w:sz w:val="28"/>
          <w:szCs w:val="28"/>
        </w:rPr>
        <w:t xml:space="preserve">Супруги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c>
          <w:tcPr>
            <w:tcW w:w="10348" w:type="dxa"/>
            <w:gridSpan w:val="2"/>
            <w:shd w:val="clear" w:color="auto" w:fill="auto"/>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br/>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c>
          <w:tcPr>
            <w:tcW w:w="3119" w:type="dxa"/>
            <w:shd w:val="clear" w:color="auto" w:fill="auto"/>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c>
          <w:tcPr>
            <w:tcW w:w="3119" w:type="dxa"/>
            <w:shd w:val="clear" w:color="auto" w:fill="auto"/>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p>
        </w:tc>
      </w:tr>
      <w:tr>
        <w:tc>
          <w:tcPr>
            <w:tcW w:w="10348" w:type="dxa"/>
            <w:gridSpan w:val="2"/>
            <w:shd w:val="clear" w:color="auto" w:fill="auto"/>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660"/>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131"/>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p>
        </w:tc>
      </w:tr>
    </w:tbl>
    <w:p>
      <w:pPr>
        <w:pStyle w:val="af7"/>
        <w:tabs>
          <w:tab w:val="left" w:pos="1134"/>
        </w:tabs>
        <w:ind w:left="709" w:firstLine="851"/>
        <w:rPr>
          <w:rFonts w:ascii="Times New Roman" w:hAnsi="Times New Roman"/>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w:t>
            </w:r>
            <w:r>
              <w:rPr>
                <w:rFonts w:ascii="Times New Roman" w:hAnsi="Times New Roman"/>
                <w:sz w:val="28"/>
                <w:szCs w:val="28"/>
              </w:rPr>
              <w:t xml:space="preserve">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szCs w:val="28"/>
              </w:rPr>
              <w:t xml:space="preserve">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p>
        </w:tc>
      </w:tr>
    </w:tbl>
    <w:p>
      <w:pPr>
        <w:ind w:firstLine="567"/>
        <w:rPr>
          <w:rFonts w:ascii="Times New Roman" w:hAnsi="Times New Roman"/>
          <w:b/>
          <w:sz w:val="28"/>
          <w:szCs w:val="28"/>
        </w:rPr>
      </w:pP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af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t xml:space="preserve">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Pr>
            <w:rStyle w:val="aff5"/>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p>
    <w:p>
      <w:pPr>
        <w:pStyle w:val="af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t xml:space="preserve">государственными органами, назначение на которые и освобождение от которых осуществляются Правительством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w="3223"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p>
        </w:tc>
        <w:tc>
          <w:tcPr>
            <w:tcW w:w="7125"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t xml:space="preserve">по делам национальностей)</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rPr>
          <w:rFonts w:ascii="Times New Roman" w:hAnsi="Times New Roman"/>
          <w:sz w:val="28"/>
          <w:szCs w:val="28"/>
        </w:rPr>
      </w:pP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p>
    <w:p>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t xml:space="preserve">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af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ind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p>
    <w:p>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tc>
          <w:tcPr>
            <w:tcW w:w="2263" w:type="dxa"/>
          </w:tcPr>
          <w:p>
            <w:pPr>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p>
        </w:tc>
        <w:tc>
          <w:tcPr>
            <w:tcW w:w="7932" w:type="dxa"/>
          </w:tcPr>
          <w:p>
            <w:pPr>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p>
        </w:tc>
      </w:tr>
      <w:tr>
        <w:tc>
          <w:tcPr>
            <w:tcW w:w="2263" w:type="dxa"/>
            <w:vMerge w:val="restart"/>
          </w:tcPr>
          <w:p>
            <w:pPr>
              <w:ind w:firstLine="0"/>
              <w:rPr>
                <w:rFonts w:ascii="Times New Roman" w:hAnsi="Times New Roman"/>
                <w:sz w:val="28"/>
                <w:szCs w:val="28"/>
              </w:rPr>
            </w:pPr>
            <w:r>
              <w:rPr>
                <w:rFonts w:ascii="Times New Roman" w:hAnsi="Times New Roman"/>
                <w:sz w:val="28"/>
                <w:szCs w:val="28"/>
              </w:rPr>
              <w:t xml:space="preserve">Сведения о доходах</w:t>
            </w: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w:t>
            </w:r>
            <w:r>
              <w:rPr>
                <w:rFonts w:ascii="Times New Roman" w:hAnsi="Times New Roman"/>
                <w:sz w:val="28"/>
                <w:szCs w:val="28"/>
              </w:rPr>
              <w:t xml:space="preserve">,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hyperlink r:id="rId23"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или посредством официального сайта Фонда пенсионного и социального страхования Российской Федерации (</w:t>
            </w:r>
            <w:hyperlink r:id="rId25" w:history="1">
              <w:r>
                <w:rPr>
                  <w:rStyle w:val="aff5"/>
                  <w:rFonts w:ascii="Times New Roman" w:hAnsi="Times New Roman"/>
                  <w:sz w:val="28"/>
                  <w:szCs w:val="28"/>
                </w:rPr>
                <w:t xml:space="preserve">https://sfr.gov.ru/</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ыписка о движении денежных средств по счету</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p>
        </w:tc>
        <w:tc>
          <w:tcPr>
            <w:tcW w:w="7932" w:type="dxa"/>
          </w:tcPr>
          <w:p>
            <w:pPr>
              <w:ind w:firstLine="0"/>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w:t>
            </w:r>
          </w:p>
          <w:p>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szCs w:val="28"/>
              </w:rPr>
              <w:t xml:space="preserve">Указани</w:t>
            </w:r>
            <w:r>
              <w:rPr>
                <w:rFonts w:ascii="Times New Roman" w:hAnsi="Times New Roman"/>
                <w:sz w:val="28"/>
                <w:szCs w:val="28"/>
              </w:rPr>
              <w:t xml:space="preserve">я</w:t>
            </w:r>
            <w:r>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Pr>
                <w:rFonts w:ascii="Times New Roman" w:hAnsi="Times New Roman"/>
                <w:sz w:val="28"/>
                <w:szCs w:val="28"/>
              </w:rPr>
              <w:t xml:space="preserve">с использованием средств дистанционного обслуживания клиента</w:t>
            </w:r>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ценных бумагах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об о</w:t>
            </w:r>
            <w:r>
              <w:rPr>
                <w:rFonts w:ascii="Times New Roman" w:hAnsi="Times New Roman"/>
                <w:sz w:val="28"/>
                <w:szCs w:val="28"/>
              </w:rPr>
              <w:t xml:space="preserve">бъект</w:t>
            </w:r>
            <w:r>
              <w:rPr>
                <w:rFonts w:ascii="Times New Roman" w:hAnsi="Times New Roman"/>
                <w:sz w:val="28"/>
                <w:szCs w:val="28"/>
              </w:rPr>
              <w:t xml:space="preserve">ах</w:t>
            </w:r>
            <w:r>
              <w:rPr>
                <w:rFonts w:ascii="Times New Roman" w:hAnsi="Times New Roman"/>
                <w:sz w:val="28"/>
                <w:szCs w:val="28"/>
              </w:rPr>
              <w:t xml:space="preserve"> недвижимого имущества, находящи</w:t>
            </w:r>
            <w:r>
              <w:rPr>
                <w:rFonts w:ascii="Times New Roman" w:hAnsi="Times New Roman"/>
                <w:sz w:val="28"/>
                <w:szCs w:val="28"/>
              </w:rPr>
              <w:t xml:space="preserve">х</w:t>
            </w:r>
            <w:r>
              <w:rPr>
                <w:rFonts w:ascii="Times New Roman" w:hAnsi="Times New Roman"/>
                <w:sz w:val="28"/>
                <w:szCs w:val="28"/>
              </w:rPr>
              <w:t xml:space="preserve">ся в пользовании</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ведения о с</w:t>
            </w:r>
            <w:r>
              <w:rPr>
                <w:rFonts w:ascii="Times New Roman" w:hAnsi="Times New Roman"/>
                <w:sz w:val="28"/>
                <w:szCs w:val="28"/>
              </w:rPr>
              <w:t xml:space="preserve">рочны</w:t>
            </w:r>
            <w:r>
              <w:rPr>
                <w:rFonts w:ascii="Times New Roman" w:hAnsi="Times New Roman"/>
                <w:sz w:val="28"/>
                <w:szCs w:val="28"/>
              </w:rPr>
              <w:t xml:space="preserve">х</w:t>
            </w:r>
            <w:r>
              <w:rPr>
                <w:rFonts w:ascii="Times New Roman" w:hAnsi="Times New Roman"/>
                <w:sz w:val="28"/>
                <w:szCs w:val="28"/>
              </w:rPr>
              <w:t xml:space="preserve"> обязательства</w:t>
            </w:r>
            <w:r>
              <w:rPr>
                <w:rFonts w:ascii="Times New Roman" w:hAnsi="Times New Roman"/>
                <w:sz w:val="28"/>
                <w:szCs w:val="28"/>
              </w:rPr>
              <w:t xml:space="preserve">х</w:t>
            </w:r>
            <w:r>
              <w:rPr>
                <w:rFonts w:ascii="Times New Roman" w:hAnsi="Times New Roman"/>
                <w:sz w:val="28"/>
                <w:szCs w:val="28"/>
              </w:rPr>
              <w:t xml:space="preserve"> финансового характера</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p>
          <w:p>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bookmarkStart w:id="1" w:name="_GoBack"/>
            <w:bookmarkEnd w:id="1"/>
            <w:r>
              <w:rPr>
                <w:rFonts w:ascii="Times New Roman" w:hAnsi="Times New Roman"/>
                <w:sz w:val="28"/>
                <w:szCs w:val="28"/>
              </w:rPr>
              <w:t xml:space="preserve"> является банк (иная кредитная организация) – </w:t>
            </w:r>
            <w:r>
              <w:rPr>
                <w:rFonts w:ascii="Times New Roman" w:hAnsi="Times New Roman"/>
                <w:sz w:val="28"/>
                <w:szCs w:val="28"/>
              </w:rPr>
              <w:t xml:space="preserve">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hyperlink r:id="rId29" w:history="1">
        <w:r>
          <w:rPr>
            <w:rStyle w:val="aff5"/>
            <w:rFonts w:ascii="Times New Roman" w:hAnsi="Times New Roman"/>
            <w:sz w:val="28"/>
            <w:szCs w:val="28"/>
          </w:rPr>
          <w:t xml:space="preserve">https://www.gosuslugi.ru/</w:t>
        </w:r>
      </w:hyperlink>
      <w:r>
        <w:rPr>
          <w:rFonts w:ascii="Times New Roman" w:hAnsi="Times New Roman"/>
          <w:sz w:val="28"/>
          <w:szCs w:val="28"/>
        </w:rPr>
        <w:t xml:space="preserve">).</w:t>
      </w:r>
    </w:p>
    <w:p>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p>
    <w:p>
      <w:pPr>
        <w:pStyle w:val="af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30" w:tooltip="http://www.kremlin.ru/structure/additional/12" w:history="1">
        <w:r>
          <w:rPr>
            <w:rStyle w:val="aff5"/>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Pr>
            <w:rStyle w:val="aff5"/>
            <w:rFonts w:ascii="Times New Roman" w:hAnsi="Times New Roman"/>
            <w:sz w:val="28"/>
            <w:szCs w:val="28"/>
          </w:rPr>
          <w:t xml:space="preserve">https://gossluzhba.gov.ru/anticorruption/spravki_bk</w:t>
        </w:r>
      </w:hyperlink>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af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af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af7"/>
        <w:tabs>
          <w:tab w:val="left" w:pos="851"/>
        </w:tabs>
        <w:ind w:left="0" w:firstLine="0"/>
        <w:jc w:val="center"/>
        <w:rPr>
          <w:rFonts w:ascii="Times New Roman" w:hAnsi="Times New Roman"/>
          <w:b/>
          <w:sz w:val="28"/>
          <w:szCs w:val="28"/>
        </w:rPr>
      </w:pPr>
    </w:p>
    <w:p>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p>
    <w:p>
      <w:pPr>
        <w:pStyle w:val="af7"/>
        <w:tabs>
          <w:tab w:val="left" w:pos="851"/>
        </w:tabs>
        <w:ind w:left="0" w:firstLine="851"/>
        <w:jc w:val="center"/>
        <w:rPr>
          <w:rFonts w:ascii="Times New Roman" w:hAnsi="Times New Roman"/>
          <w:b/>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p>
    <w:p>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без</w:t>
      </w:r>
      <w:r>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p>
    <w:p>
      <w:pPr>
        <w:tabs>
          <w:tab w:val="left" w:pos="567"/>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p>
    <w:p>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af5"/>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 xml:space="preserve">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p>
    <w:p>
      <w:pP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af7"/>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tabs>
          <w:tab w:val="left" w:pos="1134"/>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p>
    <w:p>
      <w:pPr>
        <w:pStyle w:val="af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Pr>
          <w:rFonts w:ascii="Times New Roman" w:hAnsi="Times New Roman"/>
          <w:sz w:val="28"/>
          <w:szCs w:val="28"/>
        </w:rPr>
        <w:t xml:space="preserve">и приложить их к справке.</w:t>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33" w:tooltip="https://mintrud.gov.ru/docs/1872" w:history="1">
        <w:r>
          <w:rPr>
            <w:rStyle w:val="aff5"/>
            <w:rFonts w:ascii="Times New Roman" w:hAnsi="Times New Roman"/>
            <w:sz w:val="28"/>
            <w:szCs w:val="28"/>
          </w:rPr>
          <w:t xml:space="preserve">https://mintrud.gov.ru/docs/1872</w:t>
        </w:r>
      </w:hyperlink>
      <w:r>
        <w:rPr>
          <w:rFonts w:ascii="Times New Roman" w:hAnsi="Times New Roman"/>
          <w:sz w:val="28"/>
          <w:szCs w:val="28"/>
        </w:rPr>
        <w:t xml:space="preserve">). </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numId w:val="1"/>
          <w:ilvl w:val="0"/>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 xml:space="preserve">полученной в рамках Указания Банка России № 5798-У</w:t>
      </w:r>
      <w:r>
        <w:rPr>
          <w:rStyle w:val="af5"/>
          <w:rFonts w:ascii="Times New Roman" w:hAnsi="Times New Roman" w:cs="Times New Roman"/>
          <w:sz w:val="28"/>
          <w:szCs w:val="28"/>
        </w:rPr>
        <w:t xml:space="preserve">, такие сведения не отражаются в справке.</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af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af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t xml:space="preserve">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Иные доходы</w:t>
      </w:r>
    </w:p>
    <w:p>
      <w:pPr>
        <w:pStyle w:val="af6"/>
        <w:numPr>
          <w:numId w:val="1"/>
          <w:ilvl w:val="0"/>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Pr>
          <w:rStyle w:val="af5"/>
          <w:rFonts w:ascii="Times New Roman" w:hAnsi="Times New Roman" w:cs="Times New Roman"/>
          <w:color w:val="000000"/>
          <w:sz w:val="28"/>
          <w:szCs w:val="28"/>
        </w:rPr>
        <w:t xml:space="preserve">строках справки. </w:t>
      </w:r>
    </w:p>
    <w:p>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 xml:space="preserve">"И</w:t>
      </w:r>
      <w:r>
        <w:rPr>
          <w:rStyle w:val="af5"/>
          <w:rFonts w:ascii="Times New Roman" w:hAnsi="Times New Roman" w:cs="Times New Roman"/>
          <w:b/>
          <w:sz w:val="28"/>
          <w:szCs w:val="28"/>
        </w:rPr>
        <w:t xml:space="preserve">ные</w:t>
      </w:r>
      <w:r>
        <w:rPr>
          <w:rStyle w:val="af5"/>
          <w:rFonts w:ascii="Times New Roman" w:hAnsi="Times New Roman"/>
          <w:b/>
          <w:sz w:val="28"/>
        </w:rPr>
        <w:t xml:space="preserve"> доходы</w:t>
      </w:r>
      <w:r>
        <w:rPr>
          <w:rStyle w:val="af5"/>
          <w:rFonts w:ascii="Times New Roman" w:hAnsi="Times New Roman" w:cs="Times New Roman"/>
          <w:b/>
          <w:sz w:val="28"/>
          <w:szCs w:val="28"/>
        </w:rPr>
        <w:t xml:space="preserve">"</w:t>
      </w:r>
      <w:r>
        <w:rPr>
          <w:rStyle w:val="af5"/>
          <w:rFonts w:ascii="Times New Roman" w:hAnsi="Times New Roman" w:cs="Times New Roman"/>
          <w:sz w:val="28"/>
          <w:szCs w:val="28"/>
        </w:rPr>
        <w:t xml:space="preserve"> могут быть указаны: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pPr>
        <w:pStyle w:val="Default"/>
        <w:numPr>
          <w:numId w:val="6"/>
          <w:ilvl w:val="0"/>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p>
    <w:p>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Pr>
          <w:color w:val="auto"/>
          <w:sz w:val="28"/>
          <w:szCs w:val="28"/>
        </w:rPr>
        <w:t xml:space="preserve">или посредством официального сайта Фонда пенсионного и социального страхования Российской Федерации</w:t>
      </w:r>
      <w:r>
        <w:rPr>
          <w:color w:val="auto"/>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olor w:val="000000"/>
          <w:sz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w:t>
      </w:r>
      <w:r>
        <w:rPr>
          <w:rStyle w:val="af5"/>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Pr>
          <w:rStyle w:val="af5"/>
          <w:rFonts w:ascii="Times New Roman" w:hAnsi="Times New Roman" w:cs="Times New Roman"/>
          <w:color w:val="000000"/>
          <w:sz w:val="28"/>
          <w:szCs w:val="28"/>
        </w:rPr>
        <w:t xml:space="preserve">несовершеннолетнего ребенка в </w:t>
      </w:r>
      <w:r>
        <w:rPr>
          <w:rStyle w:val="af5"/>
          <w:rFonts w:ascii="Times New Roman" w:hAnsi="Times New Roman" w:cs="Times New Roman"/>
          <w:color w:val="000000"/>
          <w:sz w:val="28"/>
          <w:szCs w:val="28"/>
        </w:rPr>
        <w:t xml:space="preserve">строке </w:t>
      </w:r>
      <w:r>
        <w:rPr>
          <w:rStyle w:val="af5"/>
          <w:rFonts w:ascii="Times New Roman" w:hAnsi="Times New Roman"/>
          <w:b/>
          <w:color w:val="000000"/>
          <w:sz w:val="28"/>
        </w:rPr>
        <w:t xml:space="preserve">"Иные доходы"</w:t>
      </w:r>
      <w:r>
        <w:rPr>
          <w:rStyle w:val="af5"/>
          <w:rFonts w:ascii="Times New Roman" w:hAnsi="Times New Roman" w:cs="Times New Roman"/>
          <w:color w:val="000000"/>
          <w:sz w:val="28"/>
          <w:szCs w:val="28"/>
        </w:rPr>
        <w:t xml:space="preserve">, а сведения о счете – </w:t>
      </w:r>
      <w:r>
        <w:rPr>
          <w:rStyle w:val="af5"/>
          <w:rFonts w:ascii="Times New Roman" w:hAnsi="Times New Roman" w:cs="Times New Roman"/>
          <w:color w:val="000000"/>
          <w:sz w:val="28"/>
          <w:szCs w:val="28"/>
        </w:rPr>
        <w:t xml:space="preserve">в разделе 4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стипендия;</w:t>
      </w:r>
    </w:p>
    <w:p>
      <w:pPr>
        <w:pStyle w:val="af7"/>
        <w:numPr>
          <w:numId w:val="6"/>
          <w:ilvl w:val="0"/>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af5"/>
          <w:rFonts w:ascii="Times New Roman" w:hAnsi="Times New Roman" w:cs="Times New Roman"/>
          <w:color w:val="000000"/>
          <w:sz w:val="28"/>
          <w:szCs w:val="28"/>
        </w:rPr>
        <w:t xml:space="preserve">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w:t>
      </w:r>
      <w:r>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t xml:space="preserve">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p>
    <w:p>
      <w:pPr>
        <w:pStyle w:val="af6"/>
        <w:numPr>
          <w:numId w:val="6"/>
          <w:ilvl w:val="0"/>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ценных бумаг и долей участия в коммерческих организациях"</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af5"/>
          <w:rFonts w:ascii="Times New Roman" w:hAnsi="Times New Roman" w:cs="Times New Roman"/>
          <w:sz w:val="28"/>
          <w:szCs w:val="28"/>
        </w:rPr>
        <w:t xml:space="preserve">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w:t>
      </w:r>
      <w:r>
        <w:rPr>
          <w:rStyle w:val="110"/>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10"/>
          <w:rFonts w:ascii="Times New Roman" w:hAnsi="Times New Roman"/>
          <w:color w:val="000000"/>
          <w:sz w:val="28"/>
          <w:szCs w:val="28"/>
        </w:rPr>
        <w:t xml:space="preserve">; </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p>
    <w:p>
      <w:pPr>
        <w:pStyle w:val="Default"/>
        <w:numPr>
          <w:numId w:val="6"/>
          <w:ilvl w:val="0"/>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numId w:val="6"/>
          <w:ilvl w:val="0"/>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pPr>
        <w:pStyle w:val="af7"/>
        <w:numPr>
          <w:numId w:val="6"/>
          <w:ilvl w:val="0"/>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p>
    <w:p>
      <w:pPr>
        <w:pStyle w:val="Default"/>
        <w:numPr>
          <w:numId w:val="6"/>
          <w:ilvl w:val="0"/>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p>
    <w:p>
      <w:pPr>
        <w:pStyle w:val="af7"/>
        <w:numPr>
          <w:numId w:val="6"/>
          <w:ilvl w:val="0"/>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af7"/>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af6"/>
        <w:numPr>
          <w:numId w:val="6"/>
          <w:ilvl w:val="0"/>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pPr>
        <w:pStyle w:val="af6"/>
        <w:numPr>
          <w:numId w:val="6"/>
          <w:ilvl w:val="0"/>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p>
    <w:p>
      <w:pPr>
        <w:pStyle w:val="af7"/>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p>
    <w:p>
      <w:pPr>
        <w:tabs>
          <w:tab w:val="left" w:pos="709"/>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p>
    <w:p>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af5"/>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p>
    <w:p>
      <w:pPr>
        <w:tabs>
          <w:tab w:val="left" w:pos="709"/>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от 12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июня 2002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г. №</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 xml:space="preserve">;</w:t>
      </w:r>
    </w:p>
    <w:p>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15</w:t>
      </w:r>
      <w:r>
        <w:rPr>
          <w:rStyle w:val="af5"/>
          <w:rFonts w:ascii="Times New Roman" w:hAnsi="Times New Roman" w:cs="Times New Roman"/>
          <w:color w:val="000000"/>
          <w:sz w:val="28"/>
          <w:szCs w:val="28"/>
        </w:rPr>
        <w:t xml:space="preserve">) от продажи</w:t>
      </w:r>
      <w:r>
        <w:rPr>
          <w:rStyle w:val="af5"/>
          <w:rFonts w:ascii="Times New Roman" w:hAnsi="Times New Roman" w:cs="Times New Roman"/>
          <w:color w:val="000000"/>
          <w:sz w:val="28"/>
          <w:szCs w:val="28"/>
        </w:rPr>
        <w:t xml:space="preserve"> иностранной</w:t>
      </w:r>
      <w:r>
        <w:rPr>
          <w:rStyle w:val="af5"/>
          <w:rFonts w:ascii="Times New Roman" w:hAnsi="Times New Roman" w:cs="Times New Roman"/>
          <w:color w:val="000000"/>
          <w:sz w:val="28"/>
          <w:szCs w:val="28"/>
        </w:rPr>
        <w:t xml:space="preserve"> валюты </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в том числе </w:t>
      </w:r>
      <w:r>
        <w:rPr>
          <w:rStyle w:val="af5"/>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af5"/>
          <w:rFonts w:ascii="Times New Roman" w:hAnsi="Times New Roman" w:cs="Times New Roman"/>
          <w:color w:val="000000"/>
          <w:sz w:val="28"/>
          <w:szCs w:val="28"/>
        </w:rPr>
        <w:t xml:space="preserve">, полученной в рамках Указания Банка России № 5798-У</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p>
    <w:p>
      <w:pPr>
        <w:pStyle w:val="af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p>
    <w:p>
      <w:pPr>
        <w:pStyle w:val="af7"/>
        <w:ind w:left="567" w:firstLine="0"/>
        <w:rPr>
          <w:rFonts w:ascii="Times New Roman" w:hAnsi="Times New Roman"/>
          <w:sz w:val="28"/>
          <w:szCs w:val="28"/>
        </w:rPr>
      </w:pPr>
    </w:p>
    <w:p>
      <w:pPr>
        <w:tabs>
          <w:tab w:val="left" w:pos="709"/>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p>
    <w:p>
      <w:pPr>
        <w:pStyle w:val="af7"/>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af7"/>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Pr>
          <w:rFonts w:ascii="Times New Roman" w:hAnsi="Times New Roman"/>
          <w:sz w:val="28"/>
          <w:szCs w:val="28"/>
        </w:rPr>
        <w:t xml:space="preserve">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af7"/>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p>
    <w:p>
      <w:pPr>
        <w:pStyle w:val="af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af7"/>
        <w:numPr>
          <w:numId w:val="1"/>
          <w:ilvl w:val="0"/>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t xml:space="preserve">служащего (работника) и его супруги (супруга) за три последних года, предшествующих совершению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p>
    <w:p>
      <w:pPr>
        <w:pStyle w:val="af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numId w:val="1"/>
          <w:ilvl w:val="0"/>
        </w:numPr>
        <w:ind w:left="0" w:firstLine="567"/>
        <w:jc w:val="both"/>
      </w:pPr>
      <w:r>
        <w:rPr>
          <w:b/>
        </w:rPr>
        <w:t xml:space="preserve">Особенности заполнения раздела "Сведения о расходах"</w:t>
      </w:r>
      <w:r>
        <w:t xml:space="preserve">:</w:t>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ind w:firstLine="851"/>
        <w:rPr>
          <w:rFonts w:ascii="Times New Roman" w:hAnsi="Times New Roman"/>
          <w:sz w:val="28"/>
          <w:szCs w:val="28"/>
        </w:rPr>
      </w:pP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p>
    <w:p>
      <w:pPr>
        <w:ind w:firstLine="851"/>
        <w:jc w:val="center"/>
        <w:rPr>
          <w:rFonts w:ascii="Times New Roman" w:hAnsi="Times New Roman" w:eastAsia="Times New Roman"/>
          <w:sz w:val="28"/>
          <w:szCs w:val="28"/>
        </w:rPr>
      </w:pP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p>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a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af7"/>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af7"/>
        <w:numPr>
          <w:numId w:val="1"/>
          <w:ilvl w:val="0"/>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af7"/>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 xml:space="preserve">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Style w:val="af5"/>
          <w:rFonts w:ascii="Times New Roman" w:hAnsi="Times New Roman" w:cs="Times New Roman"/>
          <w:color w:val="000000"/>
          <w:sz w:val="28"/>
          <w:szCs w:val="28"/>
        </w:rPr>
        <w:t xml:space="preserve">В строке "</w:t>
      </w:r>
      <w:r>
        <w:rPr>
          <w:rStyle w:val="af5"/>
          <w:rFonts w:ascii="Times New Roman" w:hAnsi="Times New Roman" w:cs="Times New Roman"/>
          <w:b/>
          <w:color w:val="000000"/>
          <w:sz w:val="28"/>
          <w:szCs w:val="28"/>
        </w:rPr>
        <w:t xml:space="preserve">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af5"/>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t xml:space="preserve">собственности (долевая собственность) или без определения таких долей (совместная собственность).</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p>
    <w:p>
      <w:pPr>
        <w:ind w:firstLine="567"/>
        <w:rPr>
          <w:rFonts w:ascii="Times New Roman" w:hAnsi="Times New Roman"/>
          <w:sz w:val="28"/>
          <w:szCs w:val="28"/>
        </w:rPr>
      </w:pPr>
      <w:r>
        <w:rPr>
          <w:rFonts w:ascii="Times New Roman" w:hAnsi="Times New Roman"/>
          <w:sz w:val="28"/>
          <w:szCs w:val="28"/>
        </w:rPr>
        <w:t xml:space="preserve">2) район;</w:t>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p>
    <w:p>
      <w:pPr>
        <w:ind w:firstLine="567"/>
        <w:rPr>
          <w:rFonts w:ascii="Times New Roman" w:hAnsi="Times New Roman"/>
          <w:strike/>
          <w:sz w:val="28"/>
          <w:szCs w:val="28"/>
        </w:rPr>
      </w:pPr>
      <w:r>
        <w:rPr>
          <w:rFonts w:ascii="Times New Roman" w:hAnsi="Times New Roman"/>
          <w:sz w:val="28"/>
          <w:szCs w:val="28"/>
        </w:rPr>
        <w:t xml:space="preserve">3) почтовый адрес.</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af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t xml:space="preserve">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4" w:tooltip="https://lk.rosreestr.ru/eservices/real-estate-objects-online" w:history="1">
        <w:r>
          <w:rPr>
            <w:rStyle w:val="aff5"/>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af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p>
    <w:p>
      <w:pPr>
        <w:pStyle w:val="af7"/>
        <w:ind w:left="0" w:firstLine="567"/>
        <w:rPr>
          <w:rFonts w:ascii="Times New Roman" w:hAnsi="Times New Roman"/>
          <w:sz w:val="28"/>
          <w:szCs w:val="28"/>
        </w:rPr>
      </w:pPr>
      <w:bookmarkStart w:id="2" w:name="Par1"/>
      <w:bookmarkEnd w:id="2"/>
      <w:r>
        <w:rPr>
          <w:rFonts w:ascii="Times New Roman" w:hAnsi="Times New Roman"/>
          <w:sz w:val="28"/>
          <w:szCs w:val="28"/>
        </w:rPr>
        <w:t xml:space="preserve">государственные должности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pPr>
      <w:bookmarkStart w:id="3" w:name="Par8"/>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af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p>
    <w:p>
      <w:pPr>
        <w:pStyle w:val="af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t xml:space="preserve">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p>
    <w:p>
      <w:pPr>
        <w:pStyle w:val="af7"/>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a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36"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7"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af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af5"/>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5"/>
          <w:rFonts w:ascii="Times New Roman" w:hAnsi="Times New Roman" w:cs="Times New Roman"/>
          <w:sz w:val="28"/>
          <w:szCs w:val="28"/>
          <w:shd w:val="clear" w:color="auto" w:fill="auto"/>
        </w:rPr>
        <w:t xml:space="preserve">а также в иные информационные системы</w:t>
      </w:r>
      <w:r>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Pr>
          <w:rStyle w:val="af5"/>
          <w:rFonts w:ascii="Times New Roman" w:hAnsi="Times New Roman" w:cs="Times New Roman"/>
          <w:sz w:val="28"/>
          <w:szCs w:val="28"/>
          <w:shd w:val="clear" w:color="auto" w:fill="auto"/>
        </w:rPr>
        <w:t xml:space="preserve"> цифрового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российских операторов информационных систем</w:t>
      </w:r>
      <w:r>
        <w:rPr>
          <w:rStyle w:val="af5"/>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https://cbr.ru/admissionfinmarket/navigator/ois/</w:t>
      </w:r>
      <w:r>
        <w:rPr>
          <w:rStyle w:val="af5"/>
          <w:rFonts w:ascii="Times New Roman" w:hAnsi="Times New Roman" w:cs="Times New Roman"/>
          <w:sz w:val="28"/>
          <w:szCs w:val="28"/>
          <w:shd w:val="clear" w:color="auto" w:fill="auto"/>
        </w:rPr>
        <w:t xml:space="preserve">.</w:t>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Частью 1</w:t>
      </w:r>
      <w:r>
        <w:rPr>
          <w:rStyle w:val="af5"/>
          <w:rFonts w:ascii="Times New Roman" w:hAnsi="Times New Roman" w:cs="Times New Roman"/>
          <w:sz w:val="28"/>
          <w:szCs w:val="28"/>
          <w:shd w:val="clear" w:color="auto" w:fill="auto"/>
        </w:rPr>
        <w:t xml:space="preserve"> стать</w:t>
      </w:r>
      <w:r>
        <w:rPr>
          <w:rStyle w:val="af5"/>
          <w:rFonts w:ascii="Times New Roman" w:hAnsi="Times New Roman" w:cs="Times New Roman"/>
          <w:sz w:val="28"/>
          <w:szCs w:val="28"/>
          <w:shd w:val="clear" w:color="auto" w:fill="auto"/>
        </w:rPr>
        <w:t xml:space="preserve">и</w:t>
      </w:r>
      <w:r>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af5"/>
          <w:rFonts w:ascii="Times New Roman" w:hAnsi="Times New Roman" w:cs="Times New Roman"/>
          <w:sz w:val="28"/>
          <w:szCs w:val="28"/>
          <w:shd w:val="clear" w:color="auto" w:fill="auto"/>
        </w:rPr>
        <w:t xml:space="preserve">утилитарные цифровые права</w:t>
      </w:r>
      <w:r>
        <w:rPr>
          <w:rStyle w:val="af5"/>
          <w:rFonts w:ascii="Times New Roman" w:hAnsi="Times New Roman" w:cs="Times New Roman"/>
          <w:sz w:val="28"/>
          <w:szCs w:val="28"/>
          <w:shd w:val="clear" w:color="auto" w:fill="auto"/>
        </w:rPr>
        <w:t xml:space="preserve">)</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1) право требовать передачи вещи (вещей)</w:t>
      </w:r>
      <w:r>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2)</w:t>
      </w:r>
      <w:r>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af5"/>
          <w:rFonts w:ascii="Times New Roman" w:hAnsi="Times New Roman" w:cs="Times New Roman"/>
          <w:sz w:val="28"/>
          <w:szCs w:val="28"/>
          <w:shd w:val="clear" w:color="auto" w:fill="auto"/>
        </w:rPr>
        <w:t xml:space="preserve"> (например, право требования передачи прав </w:t>
      </w:r>
      <w:r>
        <w:rPr>
          <w:rStyle w:val="af5"/>
          <w:rFonts w:ascii="Times New Roman" w:hAnsi="Times New Roman" w:cs="Times New Roman"/>
          <w:sz w:val="28"/>
          <w:szCs w:val="28"/>
          <w:shd w:val="clear" w:color="auto" w:fill="auto"/>
        </w:rPr>
        <w:t xml:space="preserve">использования разработанного в рамках договора инвестирования программного обеспечения)</w:t>
      </w:r>
      <w:r>
        <w:rPr>
          <w:rStyle w:val="af5"/>
          <w:rFonts w:ascii="Times New Roman" w:hAnsi="Times New Roman" w:cs="Times New Roman"/>
          <w:sz w:val="28"/>
          <w:szCs w:val="28"/>
          <w:shd w:val="clear" w:color="auto" w:fill="auto"/>
        </w:rPr>
        <w:t xml:space="preserve">; </w:t>
      </w:r>
    </w:p>
    <w:p>
      <w:pPr>
        <w:pStyle w:val="af7"/>
        <w:widowControl w:val="off"/>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af5"/>
          <w:rFonts w:ascii="Times New Roman" w:hAnsi="Times New Roman" w:cs="Times New Roman"/>
          <w:sz w:val="28"/>
          <w:szCs w:val="28"/>
          <w:shd w:val="clear" w:color="auto" w:fill="auto"/>
        </w:rPr>
        <w:t xml:space="preserve">. </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af5"/>
          <w:rFonts w:ascii="Times New Roman" w:hAnsi="Times New Roman" w:cs="Times New Roman"/>
          <w:sz w:val="28"/>
          <w:szCs w:val="28"/>
          <w:shd w:val="clear" w:color="auto" w:fill="auto"/>
        </w:rPr>
        <w:t xml:space="preserve">м</w:t>
      </w:r>
      <w:r>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af7"/>
        <w:widowControl w:val="off"/>
        <w:numPr>
          <w:numId w:val="1"/>
          <w:ilvl w:val="0"/>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Уникальное условное обозначение</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Объем инвестиций (руб.)</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af5"/>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af5"/>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инвестиционной платформы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af5"/>
          <w:rFonts w:ascii="Times New Roman" w:hAnsi="Times New Roman" w:cs="Times New Roman"/>
          <w:sz w:val="28"/>
          <w:szCs w:val="28"/>
          <w:shd w:val="clear" w:color="auto" w:fill="auto"/>
        </w:rPr>
        <w:t xml:space="preserve">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цифровой валюты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цифровой валюты.</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отношении цифровой валюты, полученной</w:t>
      </w:r>
      <w:r>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указывается дата </w:t>
      </w:r>
      <w:r>
        <w:rPr>
          <w:rStyle w:val="af5"/>
          <w:rFonts w:ascii="Times New Roman" w:hAnsi="Times New Roman" w:cs="Times New Roman"/>
          <w:sz w:val="28"/>
          <w:szCs w:val="28"/>
          <w:shd w:val="clear" w:color="auto" w:fill="auto"/>
        </w:rPr>
        <w:t xml:space="preserve">получения</w:t>
      </w:r>
      <w:r>
        <w:rPr>
          <w:rStyle w:val="af5"/>
          <w:rFonts w:ascii="Times New Roman" w:hAnsi="Times New Roman" w:cs="Times New Roman"/>
          <w:sz w:val="28"/>
          <w:szCs w:val="28"/>
          <w:shd w:val="clear" w:color="auto" w:fill="auto"/>
        </w:rPr>
        <w:t xml:space="preserve"> цифровой валюты</w:t>
      </w:r>
      <w:r>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 xml:space="preserve">.</w:t>
      </w:r>
    </w:p>
    <w:p>
      <w:pPr>
        <w:pStyle w:val="af7"/>
        <w:widowControl w:val="off"/>
        <w:numPr>
          <w:numId w:val="1"/>
          <w:ilvl w:val="0"/>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pPr>
        <w:pStyle w:val="af7"/>
        <w:ind w:left="0"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p>
    <w:p>
      <w:pPr>
        <w:pStyle w:val="af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p>
    <w:p>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af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p>
    <w:p>
      <w:pPr>
        <w:pStyle w:val="af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p>
    <w:p>
      <w:pPr>
        <w:pStyle w:val="af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p>
    <w:p>
      <w:pPr>
        <w:pStyle w:val="af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9) счет цифрового рубля.</w:t>
      </w:r>
    </w:p>
    <w:p>
      <w:pPr>
        <w:pStyle w:val="aff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Pr>
            <w:rStyle w:val="aff5"/>
            <w:rFonts w:ascii="Times New Roman" w:hAnsi="Times New Roman"/>
            <w:sz w:val="28"/>
            <w:szCs w:val="28"/>
          </w:rPr>
          <w:t xml:space="preserve">https://www.cbr.ru/hd_base/metall/metall_base_new/</w:t>
        </w:r>
      </w:hyperlink>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p>
    <w:p>
      <w:pPr>
        <w:pStyle w:val="af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p>
    <w:p>
      <w:pPr>
        <w:pStyle w:val="af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af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p>
    <w:p>
      <w:pPr>
        <w:pStyle w:val="af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a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 синтетические счета.</w:t>
      </w:r>
    </w:p>
    <w:p>
      <w:pPr>
        <w:pStyle w:val="af7"/>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af7"/>
        <w:ind w:left="0" w:firstLine="567"/>
        <w:rPr>
          <w:rStyle w:val="af5"/>
          <w:rFonts w:ascii="Times New Roman" w:hAnsi="Times New Roman"/>
        </w:rPr>
      </w:pPr>
      <w:r>
        <w:rPr>
          <w:rStyle w:val="af5"/>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af7"/>
        <w:ind w:left="0" w:firstLine="567"/>
        <w:rPr>
          <w:rFonts w:ascii="Times New Roman" w:hAnsi="Times New Roman"/>
          <w:sz w:val="28"/>
          <w:szCs w:val="28"/>
        </w:rPr>
      </w:pPr>
      <w:r>
        <w:rPr>
          <w:rStyle w:val="af5"/>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af5"/>
          <w:rFonts w:ascii="Times New Roman" w:hAnsi="Times New Roman" w:cs="Times New Roman"/>
          <w:sz w:val="28"/>
          <w:szCs w:val="28"/>
        </w:rPr>
        <w:t xml:space="preserve">, который открывает такой счет</w:t>
      </w:r>
      <w:r>
        <w:rPr>
          <w:rStyle w:val="af5"/>
          <w:rFonts w:ascii="Times New Roman" w:hAnsi="Times New Roman" w:cs="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p>
    <w:p>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af5"/>
          <w:rFonts w:ascii="Times New Roman" w:hAnsi="Times New Roman" w:cs="Times New Roman"/>
          <w:sz w:val="28"/>
          <w:szCs w:val="28"/>
        </w:rPr>
        <w:t xml:space="preserve">107016, Москва, ул. Неглинная, д. 12</w:t>
      </w:r>
      <w:r>
        <w:rPr>
          <w:rStyle w:val="af5"/>
          <w:rFonts w:ascii="Times New Roman" w:hAnsi="Times New Roman" w:cs="Times New Roman"/>
          <w:sz w:val="28"/>
          <w:szCs w:val="28"/>
        </w:rPr>
        <w:t xml:space="preserve">, к. В.</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af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af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a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af7"/>
        <w:numPr>
          <w:numId w:val="1"/>
          <w:ilvl w:val="0"/>
        </w:numPr>
        <w:ind w:left="0" w:firstLine="567"/>
        <w:rPr>
          <w:rStyle w:val="af5"/>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p>
    <w:p>
      <w:pPr>
        <w:pStyle w:val="af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a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p>
    <w:p>
      <w:pPr>
        <w:pStyle w:val="a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 xml:space="preserve">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p>
    <w:p>
      <w:pPr>
        <w:pStyle w:val="af7"/>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p>
    <w:p>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p>
    <w:p>
      <w:pPr>
        <w:pStyle w:val="af7"/>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p>
    <w:p>
      <w:pPr>
        <w:pStyle w:val="af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p>
    <w:p>
      <w:pPr>
        <w:pStyle w:val="af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af7"/>
        <w:ind w:left="0" w:firstLine="567"/>
        <w:rPr>
          <w:rFonts w:ascii="Times New Roman" w:hAnsi="Times New Roman"/>
          <w:sz w:val="28"/>
          <w:szCs w:val="28"/>
        </w:rPr>
      </w:pPr>
    </w:p>
    <w:p>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p>
    <w:tbl>
      <w:tblPr>
        <w:tblStyle w:val="af4"/>
        <w:tblW w:w="0" w:type="auto"/>
        <w:shd w:val="clear" w:color="auto" w:fill="ffffff" w:themeFill="background1"/>
        <w:tblLook w:val="04A0" w:firstRow="1" w:lastRow="0" w:firstColumn="1" w:lastColumn="0" w:noHBand="0" w:noVBand="1"/>
      </w:tblPr>
      <w:tblGrid>
        <w:gridCol w:w="10195"/>
      </w:tblGrid>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pPr>
        <w:pStyle w:val="af7"/>
        <w:ind w:left="0" w:firstLine="567"/>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p>
    <w:p>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p>
    <w:p>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Расчетная (дебетовая)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Кредитная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p>
    <w:p>
      <w:pPr>
        <w:pStyle w:val="af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pPr>
        <w:pStyle w:val="a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Pr>
            <w:rStyle w:val="aff5"/>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pPr>
        <w:pStyle w:val="af7"/>
        <w:numPr>
          <w:numId w:val="1"/>
          <w:ilvl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t xml:space="preserve">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p>
    <w:p>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af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p>
    <w:p>
      <w:pPr>
        <w:pStyle w:val="af7"/>
        <w:widowControl w:val="off"/>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p>
    <w:p>
      <w:pPr>
        <w:ind w:firstLine="851"/>
        <w:jc w:val="cente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a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t xml:space="preserve">эмитента, разная стоимость приобретения (возмездная, безвозмездная) и т.д.) следует отражать в разных строках.</w:t>
      </w:r>
    </w:p>
    <w:p>
      <w:pPr>
        <w:pStyle w:val="af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a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p>
    <w:p>
      <w:pPr>
        <w:pStyle w:val="af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af7"/>
        <w:numPr>
          <w:numId w:val="1"/>
          <w:ilvl w:val="0"/>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af7"/>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p>
    <w:p>
      <w:pPr>
        <w:pStyle w:val="af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af7"/>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af7"/>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1418"/>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af7"/>
        <w:tabs>
          <w:tab w:val="left" w:pos="1418"/>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40" w:history="1">
        <w:r>
          <w:rPr>
            <w:rStyle w:val="aff5"/>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p>
    <w:p>
      <w:pPr>
        <w:pStyle w:val="af7"/>
        <w:tabs>
          <w:tab w:val="left" w:pos="1418"/>
        </w:tabs>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p>
    <w:p>
      <w:pPr>
        <w:ind w:firstLine="851"/>
        <w:jc w:val="center"/>
        <w:rPr>
          <w:rFonts w:ascii="Times New Roman" w:hAnsi="Times New Roman"/>
          <w:sz w:val="28"/>
          <w:szCs w:val="28"/>
        </w:rPr>
      </w:pP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a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af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pPr>
        <w:pStyle w:val="af7"/>
        <w:widowControl w:val="off"/>
        <w:numPr>
          <w:numId w:val="1"/>
          <w:ilvl w:val="0"/>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af7"/>
        <w:numPr>
          <w:numId w:val="1"/>
          <w:ilvl w:val="0"/>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af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pStyle w:val="af7"/>
        <w:widowControl w:val="off"/>
        <w:numPr>
          <w:numId w:val="1"/>
          <w:ilvl w:val="0"/>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Например, </w:t>
      </w:r>
    </w:p>
    <w:p>
      <w:pPr>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af7"/>
        <w:widowControl w:val="off"/>
        <w:numPr>
          <w:numId w:val="1"/>
          <w:ilvl w:val="0"/>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af7"/>
        <w:widowControl w:val="off"/>
        <w:numPr>
          <w:numId w:val="1"/>
          <w:ilvl w:val="0"/>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p>
    <w:p>
      <w:pPr>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p>
    <w:p>
      <w:pPr>
        <w:ind w:firstLine="567"/>
        <w:rPr>
          <w:rFonts w:ascii="Times New Roman" w:hAnsi="Times New Roman"/>
          <w:sz w:val="28"/>
          <w:szCs w:val="28"/>
        </w:rPr>
      </w:pPr>
      <w:r>
        <w:rPr>
          <w:rFonts w:ascii="Times New Roman" w:hAnsi="Times New Roman"/>
          <w:sz w:val="28"/>
          <w:szCs w:val="28"/>
        </w:rPr>
        <w:t xml:space="preserve">3) договор займа;</w:t>
      </w:r>
    </w:p>
    <w:p>
      <w:pPr>
        <w:pStyle w:val="af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p>
    <w:p>
      <w:pPr>
        <w:pStyle w:val="af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ind w:firstLine="567"/>
        <w:rPr>
          <w:rFonts w:ascii="Times New Roman" w:hAnsi="Times New Roman"/>
          <w:sz w:val="28"/>
          <w:szCs w:val="28"/>
        </w:rPr>
      </w:pPr>
      <w:r>
        <w:rPr>
          <w:rFonts w:ascii="Times New Roman" w:hAnsi="Times New Roman"/>
          <w:sz w:val="28"/>
          <w:szCs w:val="28"/>
        </w:rPr>
        <w:t xml:space="preserve">14) фьючерсный договор;</w:t>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af7"/>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p>
    <w:p>
      <w:pPr>
        <w:pStyle w:val="af7"/>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t xml:space="preserve">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p>
    <w:p>
      <w:pPr>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p>
    <w:p>
      <w:pPr>
        <w:ind w:firstLine="0"/>
        <w:jc w:val="center"/>
        <w:rPr>
          <w:rFonts w:ascii="Times New Roman" w:hAnsi="Times New Roman"/>
          <w:b/>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ind w:firstLine="851"/>
        <w:jc w:val="center"/>
        <w:rPr>
          <w:rFonts w:ascii="Times New Roman" w:hAnsi="Times New Roman"/>
          <w:sz w:val="28"/>
          <w:szCs w:val="28"/>
        </w:rPr>
      </w:pP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t xml:space="preserve">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af5"/>
          <w:rFonts w:ascii="Times New Roman" w:hAnsi="Times New Roman" w:cs="Times New Roman"/>
          <w:sz w:val="28"/>
          <w:szCs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b/>
          <w:sz w:val="28"/>
          <w:szCs w:val="28"/>
          <w:shd w:val="clear" w:color="auto" w:fill="auto"/>
        </w:rPr>
        <w:t xml:space="preserve">"</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p>
    <w:p>
      <w:pPr>
        <w:pStyle w:val="af7"/>
        <w:widowControl w:val="off"/>
        <w:ind w:left="567" w:firstLine="0"/>
        <w:rPr>
          <w:rStyle w:val="af5"/>
          <w:rFonts w:ascii="Times New Roman" w:hAnsi="Times New Roman" w:cs="Times New Roman"/>
          <w:b/>
          <w:sz w:val="28"/>
          <w:szCs w:val="28"/>
          <w:shd w:val="clear" w:color="auto" w:fill="auto"/>
        </w:rPr>
      </w:pPr>
    </w:p>
    <w:p>
      <w:pPr>
        <w:pStyle w:val="af7"/>
        <w:ind w:left="0"/>
        <w:jc w:val="center"/>
        <w:rPr>
          <w:rStyle w:val="af5"/>
          <w:rFonts w:ascii="Times New Roman" w:hAnsi="Times New Roman" w:eastAsia="Times New Roman" w:cs="Times New Roman"/>
          <w:sz w:val="20"/>
          <w:szCs w:val="20"/>
          <w:shd w:val="clear" w:color="auto" w:fill="auto"/>
        </w:rPr>
      </w:pPr>
    </w:p>
    <w:sectPr>
      <w:headerReference w:type="default" r:id="rId9"/>
      <w:pgSz w:w="11906" w:h="16838"/>
      <w:pgMar w:top="1134" w:right="567" w:bottom="1134" w:left="1134" w:header="454"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22</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multiLevelType w:val="hybridMultilevel"/>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multiLevelType w:val="hybridMultilevel"/>
    <w:lvl w:ilvl="0" w:tplc="F5CC4E5A">
      <w:start w:val="1"/>
      <w:numFmt w:val="decimal"/>
      <w:lvlText w:val="%1)"/>
      <w:lvlJc w:val="left"/>
      <w:pPr>
        <w:ind w:left="1070" w:hanging="360"/>
      </w:pPr>
      <w:rPr>
        <w:rFonts w:hint="default" w:ascii="Times New Roman" w:hAnsi="Times New Roman" w:cs="Times New Roman"/>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multiLevelType w:val="hybridMultilevel"/>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multiLevelType w:val="hybridMultilevel"/>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multiLevelType w:val="hybridMultilevel"/>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multiLevelType w:val="hybridMultilevel"/>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multiLevelType w:val="hybridMultilevel"/>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9">
    <w:multiLevelType w:val="hybridMultilevel"/>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1">
    <w:multiLevelType w:val="hybridMultilevel"/>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multiLevelType w:val="hybridMultilevel"/>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multiLevelType w:val="hybridMultilevel"/>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multiLevelType w:val="hybridMultilevel"/>
    <w:lvl w:ilvl="0" w:tplc="8AEADD8A">
      <w:start w:val="1"/>
      <w:numFmt w:val="upperRoman"/>
      <w:lvlText w:val="%1."/>
      <w:lvlJc w:val="left"/>
      <w:pPr>
        <w:ind w:left="1080" w:hanging="720"/>
      </w:pPr>
      <w:rPr>
        <w:rFonts w:hint="default"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6">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17">
    <w:multiLevelType w:val="hybridMultilevel"/>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multiLevelType w:val="hybridMultilevel"/>
    <w:lvl w:ilvl="0" w:tplc="A1EC6D8E">
      <w:start w:val="1"/>
      <w:numFmt w:val="decimal"/>
      <w:lvlText w:val="%1)"/>
      <w:lvlJc w:val="left"/>
      <w:pPr>
        <w:ind w:left="1065" w:hanging="360"/>
      </w:pPr>
      <w:rPr>
        <w:rFonts w:ascii="Times New Roman" w:hAnsi="Times New Roman" w:eastAsia="Calibri"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multiLevelType w:val="hybridMultilevel"/>
    <w:lvl w:ilvl="0" w:tplc="0419000F">
      <w:start w:val="1"/>
      <w:numFmt w:val="decimal"/>
      <w:lvlText w:val="%1."/>
      <w:lvlJc w:val="left"/>
      <w:pPr>
        <w:ind w:left="1571" w:hanging="360"/>
      </w:pPr>
    </w:lvl>
    <w:lvl w:ilvl="1" w:tentative="1" w:tplc="04190019">
      <w:start w:val="1"/>
      <w:numFmt w:val="lowerLetter"/>
      <w:lvlText w:val="%2."/>
      <w:lvlJc w:val="left"/>
      <w:pPr>
        <w:ind w:left="2291" w:hanging="360"/>
      </w:pPr>
    </w:lvl>
    <w:lvl w:ilvl="2" w:tentative="1" w:tplc="0419001B">
      <w:start w:val="1"/>
      <w:numFmt w:val="lowerRoman"/>
      <w:lvlText w:val="%3."/>
      <w:lvlJc w:val="right"/>
      <w:pPr>
        <w:ind w:left="3011" w:hanging="180"/>
      </w:pPr>
    </w:lvl>
    <w:lvl w:ilvl="3" w:tentative="1" w:tplc="0419000F">
      <w:start w:val="1"/>
      <w:numFmt w:val="decimal"/>
      <w:lvlText w:val="%4."/>
      <w:lvlJc w:val="left"/>
      <w:pPr>
        <w:ind w:left="3731" w:hanging="360"/>
      </w:pPr>
    </w:lvl>
    <w:lvl w:ilvl="4" w:tentative="1" w:tplc="04190019">
      <w:start w:val="1"/>
      <w:numFmt w:val="lowerLetter"/>
      <w:lvlText w:val="%5."/>
      <w:lvlJc w:val="left"/>
      <w:pPr>
        <w:ind w:left="4451" w:hanging="360"/>
      </w:pPr>
    </w:lvl>
    <w:lvl w:ilvl="5" w:tentative="1" w:tplc="0419001B">
      <w:start w:val="1"/>
      <w:numFmt w:val="lowerRoman"/>
      <w:lvlText w:val="%6."/>
      <w:lvlJc w:val="right"/>
      <w:pPr>
        <w:ind w:left="5171" w:hanging="180"/>
      </w:pPr>
    </w:lvl>
    <w:lvl w:ilvl="6" w:tentative="1" w:tplc="0419000F">
      <w:start w:val="1"/>
      <w:numFmt w:val="decimal"/>
      <w:lvlText w:val="%7."/>
      <w:lvlJc w:val="left"/>
      <w:pPr>
        <w:ind w:left="5891" w:hanging="360"/>
      </w:pPr>
    </w:lvl>
    <w:lvl w:ilvl="7" w:tentative="1" w:tplc="04190019">
      <w:start w:val="1"/>
      <w:numFmt w:val="lowerLetter"/>
      <w:lvlText w:val="%8."/>
      <w:lvlJc w:val="left"/>
      <w:pPr>
        <w:ind w:left="6611" w:hanging="360"/>
      </w:pPr>
    </w:lvl>
    <w:lvl w:ilvl="8" w:tentative="1" w:tplc="0419001B">
      <w:start w:val="1"/>
      <w:numFmt w:val="lowerRoman"/>
      <w:lvlText w:val="%9."/>
      <w:lvlJc w:val="right"/>
      <w:pPr>
        <w:ind w:left="7331" w:hanging="180"/>
      </w:pPr>
    </w:lvl>
  </w:abstractNum>
  <w:abstractNum w:abstractNumId="20">
    <w:multiLevelType w:val="hybridMultilevel"/>
    <w:lvl w:ilvl="0" w:tplc="BC5CCFF6">
      <w:start w:val="1"/>
      <w:numFmt w:val="decimal"/>
      <w:lvlText w:val="%1."/>
      <w:lvlJc w:val="left"/>
      <w:pPr>
        <w:ind w:left="928" w:hanging="360"/>
      </w:pPr>
      <w:rPr>
        <w:rFonts w:hint="default" w:ascii="Times New Roman" w:hAnsi="Times New Roman" w:cs="Times New Roman"/>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22">
    <w:multiLevelType w:val="hybridMultilevel"/>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multiLevelType w:val="hybridMultilevel"/>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5">
    <w:multiLevelType w:val="hybridMultilevel"/>
    <w:lvl w:ilvl="0" w:tplc="01A69656">
      <w:start w:val="1"/>
      <w:numFmt w:val="decimal"/>
      <w:lvlText w:val="%1."/>
      <w:lvlJc w:val="center"/>
      <w:pPr>
        <w:ind w:left="2422" w:hanging="720"/>
      </w:pPr>
      <w:rPr>
        <w:rFonts w:hint="default" w:ascii="Times New Roman" w:hAnsi="Times New Roman" w:eastAsia="Times New Roman" w:cs="Times New Roman"/>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multiLevelType w:val="hybridMultilevel"/>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multiLevelType w:val="hybridMultilevel"/>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29">
    <w:multiLevelType w:val="hybridMultilevel"/>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multiLevelType w:val="hybridMultilevel"/>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32">
    <w:multiLevelType w:val="hybridMultilevel"/>
    <w:lvl w:ilvl="0" w:tplc="01686CFC">
      <w:start w:val="1"/>
      <w:numFmt w:val="decimal"/>
      <w:lvlText w:val="%1)"/>
      <w:lvlJc w:val="left"/>
      <w:pPr>
        <w:ind w:left="1070" w:hanging="360"/>
      </w:pPr>
      <w:rPr>
        <w:rFonts w:hint="default" w:ascii="Times New Roman" w:hAnsi="Times New Roman" w:cs="Times New Roman"/>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multiLevelType w:val="hybridMultilevel"/>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multiLevelType w:val="hybridMultilevel"/>
    <w:lvl w:ilvl="0" w:tplc="99BA010A">
      <w:start w:val="1"/>
      <w:numFmt w:val="decimal"/>
      <w:lvlText w:val="%1)"/>
      <w:lvlJc w:val="left"/>
      <w:pPr>
        <w:ind w:left="1065" w:hanging="360"/>
      </w:pPr>
      <w:rPr>
        <w:rFonts w:ascii="Times New Roman" w:hAnsi="Times New Roman" w:eastAsia="Calibri"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multiLevelType w:val="hybridMultilevel"/>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multiLevelType w:val="hybridMultilevel"/>
    <w:lvl w:ilvl="0" w:tplc="59F0DBAC">
      <w:start w:val="1"/>
      <w:numFmt w:val="decimal"/>
      <w:lvlText w:val="%1."/>
      <w:lvlJc w:val="left"/>
      <w:pPr>
        <w:ind w:left="928" w:hanging="360"/>
      </w:pPr>
      <w:rPr>
        <w:rFonts w:hint="default" w:ascii="Times New Roman" w:hAnsi="Times New Roman" w:cs="Times New Roman"/>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multiLevelType w:val="hybridMultilevel"/>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multiLevelType w:val="hybridMultilevel"/>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multiLevelType w:val="hybridMultilevel"/>
    <w:lvl w:ilvl="0" w:tplc="17FC60AC">
      <w:start w:val="1"/>
      <w:numFmt w:val="upperRoman"/>
      <w:lvlText w:val="%1."/>
      <w:lvlJc w:val="left"/>
      <w:pPr>
        <w:ind w:left="1080" w:hanging="720"/>
      </w:pPr>
      <w:rPr>
        <w:rFonts w:hint="default" w:cs="Times New Roman"/>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multiLevelType w:val="hybridMultilevel"/>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customStyle="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customStyle="1">
    <w:name w:val="Таблица простая 51"/>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unhideWhenUsed/>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uiPriority w:val="99"/>
    <w:pPr>
      <w:ind w:firstLine="709"/>
      <w:jc w:val="both"/>
    </w:pPr>
    <w:rPr>
      <w:rFonts w:ascii="Courier New" w:hAnsi="Courier New" w:cs="Courier New"/>
      <w:lang w:eastAsia="en-US"/>
    </w:rPr>
  </w:style>
  <w:style w:type="character" w:styleId="af5" w:customStyle="1">
    <w:name w:val="Основной текст Знак"/>
    <w:link w:val="af6"/>
    <w:rPr>
      <w:rFonts w:ascii="Calibri" w:hAnsi="Calibri" w:cs="Calibri"/>
      <w:shd w:val="clear" w:color="auto" w:fill="ffffff"/>
    </w:rPr>
  </w:style>
  <w:style w:type="paragraph" w:styleId="af6">
    <w:name w:val="Body Text"/>
    <w:basedOn w:val="a"/>
    <w:link w:val="af5"/>
    <w:pPr>
      <w:widowControl w:val="off"/>
      <w:shd w:val="clear" w:color="auto" w:fill="ffffff"/>
      <w:spacing w:after="780" w:line="298" w:lineRule="exact"/>
      <w:ind w:hanging="1600"/>
    </w:pPr>
    <w:rPr>
      <w:rFonts w:cs="Calibri"/>
    </w:rPr>
  </w:style>
  <w:style w:type="character" w:styleId="13" w:customStyle="1">
    <w:name w:val="Основной текст Знак1"/>
    <w:basedOn w:val="a0"/>
    <w:uiPriority w:val="99"/>
    <w:semiHidden/>
  </w:style>
  <w:style w:type="paragraph" w:styleId="af7">
    <w:name w:val="List Paragraph"/>
    <w:basedOn w:val="a"/>
    <w:uiPriority w:val="34"/>
    <w:qFormat/>
    <w:pPr>
      <w:ind w:left="720"/>
      <w:contextualSpacing/>
    </w:pPr>
  </w:style>
  <w:style w:type="paragraph" w:styleId="Default" w:customStyle="1">
    <w:name w:val="Default"/>
    <w:pPr>
      <w:ind w:firstLine="709"/>
      <w:jc w:val="both"/>
    </w:pPr>
    <w:rPr>
      <w:rFonts w:ascii="Times New Roman" w:hAnsi="Times New Roman"/>
      <w:color w:val="000000"/>
      <w:sz w:val="24"/>
      <w:szCs w:val="24"/>
    </w:rPr>
  </w:style>
  <w:style w:type="character" w:styleId="apple-converted-space" w:customStyle="1">
    <w:name w:val="apple-converted-space"/>
    <w:basedOn w:val="a0"/>
  </w:style>
  <w:style w:type="paragraph" w:styleId="af8">
    <w:name w:val="Normal (Web)"/>
    <w:basedOn w:val="a"/>
    <w:uiPriority w:val="99"/>
    <w:unhideWhenUsed/>
    <w:pPr>
      <w:spacing w:before="240" w:after="240"/>
    </w:pPr>
    <w:rPr>
      <w:rFonts w:ascii="Times New Roman" w:hAnsi="Times New Roman" w:eastAsia="Times New Roman"/>
      <w:sz w:val="24"/>
      <w:szCs w:val="24"/>
      <w:lang w:eastAsia="ru-RU"/>
    </w:rPr>
  </w:style>
  <w:style w:type="paragraph" w:styleId="af9">
    <w:name w:val="footnote text"/>
    <w:basedOn w:val="a"/>
    <w:link w:val="afa"/>
    <w:uiPriority w:val="99"/>
    <w:rPr>
      <w:rFonts w:ascii="Times New Roman" w:hAnsi="Times New Roman" w:eastAsia="Times New Roman"/>
      <w:sz w:val="20"/>
      <w:szCs w:val="20"/>
      <w:lang w:eastAsia="ru-RU"/>
    </w:rPr>
  </w:style>
  <w:style w:type="character" w:styleId="afa" w:customStyle="1">
    <w:name w:val="Текст сноски Знак"/>
    <w:link w:val="af9"/>
    <w:uiPriority w:val="99"/>
    <w:rPr>
      <w:rFonts w:ascii="Times New Roman" w:hAnsi="Times New Roman" w:eastAsia="Times New Roman" w:cs="Times New Roman"/>
      <w:sz w:val="20"/>
      <w:szCs w:val="20"/>
      <w:lang w:eastAsia="ru-RU"/>
    </w:rPr>
  </w:style>
  <w:style w:type="character" w:styleId="afb">
    <w:name w:val="footnote reference"/>
    <w:uiPriority w:val="99"/>
    <w:semiHidden/>
    <w:rPr>
      <w:vertAlign w:val="superscript"/>
    </w:rPr>
  </w:style>
  <w:style w:type="character" w:styleId="FontStyle12" w:customStyle="1">
    <w:name w:val="Font Style12"/>
    <w:rPr>
      <w:rFonts w:hint="default" w:ascii="Times New Roman" w:hAnsi="Times New Roman" w:cs="Times New Roman"/>
      <w:sz w:val="24"/>
      <w:szCs w:val="24"/>
    </w:rPr>
  </w:style>
  <w:style w:type="character" w:styleId="afc" w:customStyle="1">
    <w:name w:val="Основной текст_"/>
    <w:link w:val="14"/>
    <w:rPr>
      <w:sz w:val="28"/>
      <w:szCs w:val="28"/>
      <w:shd w:val="clear" w:color="auto" w:fill="ffffff"/>
    </w:rPr>
  </w:style>
  <w:style w:type="paragraph" w:styleId="14" w:customStyle="1">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styleId="afe" w:customStyle="1">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styleId="aff1" w:customStyle="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styleId="aff3" w:customStyle="1">
    <w:name w:val="Тема примечания Знак"/>
    <w:link w:val="aff2"/>
    <w:uiPriority w:val="99"/>
    <w:semiHidden/>
    <w:rPr>
      <w:b/>
      <w:bCs/>
      <w:sz w:val="20"/>
      <w:szCs w:val="20"/>
    </w:rPr>
  </w:style>
  <w:style w:type="character" w:styleId="110" w:customStyle="1">
    <w:name w:val="Основной текст Знак11"/>
    <w:uiPriority w:val="99"/>
    <w:semiHidden/>
    <w:rPr>
      <w:rFonts w:cs="Times New Roman"/>
    </w:rPr>
  </w:style>
  <w:style w:type="paragraph" w:styleId="ConsPlusNormal" w:customStyle="1">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styleId="FontStyle33" w:customStyle="1">
    <w:name w:val="Font Style33"/>
    <w:basedOn w:val="a0"/>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s://lkfl2.nalog.ru/lkfl" TargetMode="External"/><Relationship Id="rId24" Type="http://schemas.openxmlformats.org/officeDocument/2006/relationships/hyperlink" Target="https://lkfl2.nalog.ru/lkfl" TargetMode="External"/><Relationship Id="rId25" Type="http://schemas.openxmlformats.org/officeDocument/2006/relationships/hyperlink" Target="https://sfr.gov.ru/" TargetMode="External"/><Relationship Id="rId26" Type="http://schemas.openxmlformats.org/officeDocument/2006/relationships/hyperlink" Target="https://lkfl2.nalog.ru/lkfl" TargetMode="External"/><Relationship Id="rId27" Type="http://schemas.openxmlformats.org/officeDocument/2006/relationships/hyperlink" Target="https://lkfl2.nalog.ru/lkfl" TargetMode="External"/><Relationship Id="rId28" Type="http://schemas.openxmlformats.org/officeDocument/2006/relationships/hyperlink" Target="https://lkfl2.nalog.ru/lkfl" TargetMode="External"/><Relationship Id="rId29" Type="http://schemas.openxmlformats.org/officeDocument/2006/relationships/hyperlink" Target="https://www.gosuslugi.ru/" TargetMode="External"/><Relationship Id="rId30" Type="http://schemas.openxmlformats.org/officeDocument/2006/relationships/hyperlink" Target="http://www.kremlin.ru/structure/additional/12" TargetMode="External"/><Relationship Id="rId31" Type="http://schemas.openxmlformats.org/officeDocument/2006/relationships/hyperlink" Target="https://gossluzhba.gov.ru/anticorruption/spravki_bk" TargetMode="External"/><Relationship Id="rId32" Type="http://schemas.openxmlformats.org/officeDocument/2006/relationships/hyperlink" Target="https://www.cbr.ru/currency_base/daily/" TargetMode="External"/><Relationship Id="rId33" Type="http://schemas.openxmlformats.org/officeDocument/2006/relationships/hyperlink" Target="https://mintrud.gov.ru/docs/1872" TargetMode="External"/><Relationship Id="rId34" Type="http://schemas.openxmlformats.org/officeDocument/2006/relationships/hyperlink" Target="https://lk.rosreestr.ru/eservices/real-estate-objects-online" TargetMode="External"/><Relationship Id="rId35" Type="http://schemas.openxmlformats.org/officeDocument/2006/relationships/hyperlink" Target="https://www.gibdd.ru/r/77/contacts/div1145039/" TargetMode="External"/><Relationship Id="rId36" Type="http://schemas.openxmlformats.org/officeDocument/2006/relationships/hyperlink" Target="https://www.gibdd.ru/r/66/contacts/div1165058/" TargetMode="External"/><Relationship Id="rId37" Type="http://schemas.openxmlformats.org/officeDocument/2006/relationships/hyperlink" Target="https://www.gibdd.ru/r/66/contacts/div1165043/" TargetMode="External"/><Relationship Id="rId38" Type="http://schemas.openxmlformats.org/officeDocument/2006/relationships/hyperlink" Target="https://www.cbr.ru/hd_base/metall/metall_base_new/" TargetMode="External"/><Relationship Id="rId39" Type="http://schemas.openxmlformats.org/officeDocument/2006/relationships/hyperlink" Target="https://www.nalog.ru/rn77/related_activities/accounting/bank_account/" TargetMode="External"/><Relationship Id="rId40" Type="http://schemas.openxmlformats.org/officeDocument/2006/relationships/hyperlink" Target="https://mintrud.gov.ru/ministry/programms/anticorruption/9/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Р7-Офис/7.4.0.223</Application>
  <Characters>169426</Characters>
  <CharactersWithSpaces>198752</CharactersWithSpaces>
  <Company>1</Company>
  <DocSecurity>0</DocSecurity>
  <HyperlinksChanged>false</HyperlinksChanged>
  <Lines>1411</Lines>
  <LinksUpToDate>false</LinksUpToDate>
  <Pages>70</Pages>
  <Paragraphs>397</Paragraphs>
  <ScaleCrop>false</ScaleCrop>
  <SharedDoc>false</SharedDoc>
  <Template>Normal</Template>
  <TotalTime>2</TotalTime>
  <Words>29723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Голубцов Артур Сергеевич</cp:lastModifiedBy>
  <cp:revision>6</cp:revision>
  <cp:lastPrinted>2024-12-26T15:14:00Z</cp:lastPrinted>
  <dcterms:created xsi:type="dcterms:W3CDTF">2024-12-26T15:33:00Z</dcterms:created>
  <dcterms:modified xsi:type="dcterms:W3CDTF">2024-12-27T07:36:00Z</dcterms:modified>
</cp:coreProperties>
</file>