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B" w:rsidRPr="004B2443" w:rsidRDefault="00002BAF" w:rsidP="0000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BA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2616987</wp:posOffset>
            </wp:positionH>
            <wp:positionV relativeFrom="paragraph">
              <wp:posOffset>-317481</wp:posOffset>
            </wp:positionV>
            <wp:extent cx="636042" cy="730155"/>
            <wp:effectExtent l="19050" t="0" r="0" b="0"/>
            <wp:wrapNone/>
            <wp:docPr id="26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2" cy="7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A22C8B" w:rsidRPr="00715535" w:rsidTr="00F1263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2BAF" w:rsidRDefault="00002BAF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8B" w:rsidRPr="00715535" w:rsidRDefault="008C32A0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A22C8B" w:rsidRPr="00715535" w:rsidRDefault="008C32A0" w:rsidP="0000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A22C8B" w:rsidRPr="00715535" w:rsidRDefault="00A22C8B" w:rsidP="00002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002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C8B" w:rsidRPr="00715535" w:rsidRDefault="00A22C8B" w:rsidP="00715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3010E0" w:rsidP="0071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3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C32A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C8B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      п. Абан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854C6">
        <w:rPr>
          <w:rFonts w:ascii="Times New Roman" w:hAnsi="Times New Roman" w:cs="Times New Roman"/>
          <w:sz w:val="28"/>
          <w:szCs w:val="28"/>
        </w:rPr>
        <w:t>-</w:t>
      </w:r>
      <w:r w:rsidR="003001EF">
        <w:rPr>
          <w:rFonts w:ascii="Times New Roman" w:hAnsi="Times New Roman" w:cs="Times New Roman"/>
          <w:sz w:val="28"/>
          <w:szCs w:val="28"/>
        </w:rPr>
        <w:t>п</w:t>
      </w:r>
    </w:p>
    <w:p w:rsidR="00A22C8B" w:rsidRDefault="00A22C8B" w:rsidP="007155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4C6" w:rsidRPr="00D854C6" w:rsidRDefault="00103301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A400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00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утверждении методики расчета и оценки</w:t>
      </w:r>
      <w:r w:rsidR="00A4008E"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008E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ключевых показателей эффективности функционирования в </w:t>
      </w:r>
      <w:r w:rsidR="00A4008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 Красноярского края</w:t>
      </w:r>
      <w:r w:rsidR="00A4008E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</w:t>
      </w:r>
    </w:p>
    <w:p w:rsidR="00A22C8B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D854C6" w:rsidRDefault="00A22C8B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D854C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54C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</w:t>
      </w:r>
      <w:r w:rsidR="00F1263F">
        <w:rPr>
          <w:rFonts w:ascii="Times New Roman" w:hAnsi="Times New Roman" w:cs="Times New Roman"/>
          <w:sz w:val="28"/>
          <w:szCs w:val="28"/>
        </w:rPr>
        <w:t>№</w:t>
      </w:r>
      <w:r w:rsidRPr="00D854C6">
        <w:rPr>
          <w:rFonts w:ascii="Times New Roman" w:hAnsi="Times New Roman" w:cs="Times New Roman"/>
          <w:sz w:val="28"/>
          <w:szCs w:val="28"/>
        </w:rPr>
        <w:t xml:space="preserve"> 618 «Об основных направлениях государственной политики по развитию конкуренции», </w:t>
      </w:r>
      <w:hyperlink r:id="rId9" w:history="1">
        <w:r w:rsidR="00D854C6" w:rsidRPr="00D854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</w:t>
        </w:r>
      </w:hyperlink>
      <w:r w:rsidR="00D854C6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>ом Федеральной антимонопольной с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лужбы Российской Федерации от 27.12.2022 </w:t>
      </w:r>
      <w:r w:rsidR="00F1263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1034/22</w:t>
      </w:r>
      <w:r w:rsidR="00D854C6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Pr="00D854C6">
        <w:rPr>
          <w:rFonts w:ascii="Times New Roman" w:hAnsi="Times New Roman" w:cs="Times New Roman"/>
          <w:sz w:val="28"/>
          <w:szCs w:val="28"/>
        </w:rPr>
        <w:t>руководствуясь ст. 43, 44 Устава Абанского района Красноярского края,</w:t>
      </w:r>
    </w:p>
    <w:p w:rsidR="00A22C8B" w:rsidRPr="00D854C6" w:rsidRDefault="00A22C8B" w:rsidP="00D85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4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54C6" w:rsidRPr="00D854C6" w:rsidRDefault="00D854C6" w:rsidP="00D8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</w:t>
      </w:r>
      <w:r w:rsid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ar49" w:history="1">
        <w:r w:rsidRPr="00D854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Методику</w:t>
        </w:r>
      </w:hyperlink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и оценки ключевых показателей эффективности функционирования 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Красноярского края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 согласно приложению </w:t>
      </w:r>
      <w:r w:rsid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32A0" w:rsidRPr="00D854C6" w:rsidRDefault="00EC7CF3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2A0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Абанского района Красноярского края от 04.12.2020</w:t>
      </w:r>
      <w:r w:rsidR="00707947">
        <w:rPr>
          <w:rFonts w:ascii="Times New Roman" w:hAnsi="Times New Roman" w:cs="Times New Roman"/>
          <w:sz w:val="28"/>
          <w:szCs w:val="28"/>
        </w:rPr>
        <w:t xml:space="preserve"> № 477-п</w:t>
      </w:r>
      <w:r w:rsidR="008C32A0">
        <w:rPr>
          <w:rFonts w:ascii="Times New Roman" w:hAnsi="Times New Roman" w:cs="Times New Roman"/>
          <w:sz w:val="28"/>
          <w:szCs w:val="28"/>
        </w:rPr>
        <w:t xml:space="preserve"> «</w:t>
      </w:r>
      <w:r w:rsidR="008C32A0"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8C32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8C32A0"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C32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утверждении методики расчета и оценки</w:t>
      </w:r>
      <w:r w:rsidR="008C32A0"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C32A0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ключевых показателей эффективности функционирования в 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 Красноярского края</w:t>
      </w:r>
      <w:r w:rsidR="008C32A0"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C7CF3" w:rsidRDefault="00EC7CF3" w:rsidP="00EC7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4C6">
        <w:rPr>
          <w:rFonts w:ascii="Times New Roman" w:hAnsi="Times New Roman" w:cs="Times New Roman"/>
          <w:sz w:val="28"/>
          <w:szCs w:val="28"/>
        </w:rPr>
        <w:t>. Главному специалисту отдела информационного, правового и кадрового обеспечения администрации Абанского района Р.В. Синькевич, руководителям муниципальных органов администрации Абанского района обеспечить ознакомление муниципальных служащих с настоящим постановлением.</w:t>
      </w:r>
    </w:p>
    <w:p w:rsidR="00EC7CF3" w:rsidRPr="00D854C6" w:rsidRDefault="00EC7CF3" w:rsidP="00EC7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54C6">
        <w:rPr>
          <w:rFonts w:ascii="Times New Roman" w:hAnsi="Times New Roman" w:cs="Times New Roman"/>
          <w:sz w:val="28"/>
          <w:szCs w:val="28"/>
        </w:rPr>
        <w:t xml:space="preserve">. Разместить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Абанский район в </w:t>
      </w:r>
      <w:r w:rsidR="003010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нформационно-телекоммуникационной сети</w:t>
      </w:r>
      <w:r w:rsidR="00621D48">
        <w:rPr>
          <w:rFonts w:ascii="Times New Roman" w:hAnsi="Times New Roman" w:cs="Times New Roman"/>
          <w:sz w:val="28"/>
          <w:szCs w:val="28"/>
        </w:rPr>
        <w:t xml:space="preserve"> И</w:t>
      </w:r>
      <w:r w:rsidRPr="00D854C6">
        <w:rPr>
          <w:rFonts w:ascii="Times New Roman" w:hAnsi="Times New Roman" w:cs="Times New Roman"/>
          <w:sz w:val="28"/>
          <w:szCs w:val="28"/>
        </w:rPr>
        <w:t>нтернет и опубликовать в газете «Красное знамя».</w:t>
      </w:r>
    </w:p>
    <w:p w:rsidR="00A22C8B" w:rsidRDefault="008C32A0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. </w:t>
      </w:r>
      <w:r w:rsidR="00715535" w:rsidRPr="00D854C6">
        <w:rPr>
          <w:rFonts w:ascii="Times New Roman" w:hAnsi="Times New Roman" w:cs="Times New Roman"/>
          <w:sz w:val="28"/>
          <w:szCs w:val="28"/>
        </w:rPr>
        <w:t>Постановление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21D48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A22C8B" w:rsidRPr="00D854C6" w:rsidRDefault="008C32A0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C8B" w:rsidRPr="00D854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7630D">
        <w:rPr>
          <w:rFonts w:ascii="Times New Roman" w:hAnsi="Times New Roman" w:cs="Times New Roman"/>
          <w:sz w:val="28"/>
          <w:szCs w:val="28"/>
        </w:rPr>
        <w:t>п</w:t>
      </w:r>
      <w:r w:rsidR="00715535" w:rsidRPr="00D854C6">
        <w:rPr>
          <w:rFonts w:ascii="Times New Roman" w:hAnsi="Times New Roman" w:cs="Times New Roman"/>
          <w:sz w:val="28"/>
          <w:szCs w:val="28"/>
        </w:rPr>
        <w:t>остановления</w:t>
      </w:r>
      <w:r w:rsidR="00D854C6" w:rsidRPr="00D854C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Абанского района О.В. Кортелеву.</w:t>
      </w:r>
    </w:p>
    <w:p w:rsidR="00A22C8B" w:rsidRPr="00D854C6" w:rsidRDefault="00A22C8B" w:rsidP="00D85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B30BD8" w:rsidP="00ED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</w:t>
      </w:r>
      <w:r w:rsidR="00ED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32A0">
        <w:rPr>
          <w:rFonts w:ascii="Times New Roman" w:hAnsi="Times New Roman" w:cs="Times New Roman"/>
          <w:sz w:val="28"/>
          <w:szCs w:val="28"/>
        </w:rPr>
        <w:t>А.А.Войнич</w:t>
      </w:r>
    </w:p>
    <w:p w:rsidR="00ED1E3B" w:rsidRDefault="00ED1E3B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69C5" w:rsidRDefault="003169C5" w:rsidP="00C13B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B4E" w:rsidRDefault="00C13B4E" w:rsidP="00C13B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844EE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N </w:t>
      </w:r>
      <w:r w:rsidR="002368B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Абанского района </w:t>
      </w:r>
    </w:p>
    <w:p w:rsidR="00844EED" w:rsidRDefault="00844EED" w:rsidP="00844EE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>00.12.2024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C32A0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4EED" w:rsidRDefault="00D854C6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49"/>
      <w:bookmarkEnd w:id="0"/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МЕТОДИКА</w:t>
      </w:r>
    </w:p>
    <w:p w:rsidR="00D854C6" w:rsidRPr="00844EED" w:rsidRDefault="00844EED" w:rsidP="00D8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расчета и оценки ключевых показателей эффективности</w:t>
      </w:r>
    </w:p>
    <w:p w:rsidR="00D854C6" w:rsidRPr="00844EED" w:rsidRDefault="00844EED" w:rsidP="0084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функционирования в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Абанского района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</w:t>
      </w:r>
      <w:r w:rsidRPr="00844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расноярского края антимонопольного комплаенса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D85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ОБЩИЕ ПОЛОЖЕНИЯ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Настоящая Методика расчета и оценки ключевых показателей эффективности функционирования в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Красноярского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района)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антимонопольного комплаенса (далее - Методика, ключевые показатели) разработана с учетом </w:t>
      </w:r>
      <w:hyperlink r:id="rId10" w:history="1">
        <w:r w:rsidRPr="0000518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Приказа</w:t>
        </w:r>
      </w:hyperlink>
      <w:r w:rsidRPr="000051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ФАС России от 27.12.2022 </w:t>
      </w:r>
      <w:r w:rsidR="00F1263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0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1034/22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антимонопольного комплаенса»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8436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МЕТОДИКА РАСЧЕТА КЛЮЧЕВЫХ ПОКАЗАТЕЛЕЙ ЭФФЕКТИВНОСТИ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ФУНКЦИОНИРОВАНИЯ В 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АДМИНИСТРАЦИИ РАЙОНА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АНТИМОНОПОЛЬНОГО КОМПЛАЕНСА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Коэффициент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79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последние три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по формуле:</w:t>
      </w: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90D" w:rsidRPr="00F24CDC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0"/>
          <w:sz w:val="20"/>
          <w:szCs w:val="20"/>
        </w:rPr>
        <w:drawing>
          <wp:inline distT="0" distB="0" distL="0" distR="0">
            <wp:extent cx="962025" cy="389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24CDC">
        <w:rPr>
          <w:rFonts w:ascii="Times New Roman" w:eastAsiaTheme="minorHAnsi" w:hAnsi="Times New Roman" w:cs="Times New Roman"/>
          <w:sz w:val="20"/>
          <w:szCs w:val="20"/>
          <w:lang w:eastAsia="en-US"/>
        </w:rPr>
        <w:t>где</w:t>
      </w: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КСН - коэффициент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707947">
        <w:rPr>
          <w:rFonts w:ascii="Times New Roman" w:eastAsiaTheme="minorHAnsi" w:hAnsi="Times New Roman" w:cs="Times New Roman"/>
          <w:sz w:val="28"/>
          <w:szCs w:val="28"/>
          <w:lang w:eastAsia="en-US"/>
        </w:rPr>
        <w:t>НП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794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три года ранее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отчетном периоде.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нарушений не допускалось, для целей расчета в соответствующем числителе или знаменателе вместо значения показателя </w:t>
      </w:r>
      <w:r w:rsidR="00A83E5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83E5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 использовать значение показателя </w:t>
      </w:r>
      <w:r w:rsidR="00A83E5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0,1</w:t>
      </w:r>
      <w:r w:rsidR="00A83E5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</w:t>
      </w:r>
      <w:r w:rsid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снижения количества нарушений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нарушением антимонопольного законодательства со стороны </w:t>
      </w:r>
      <w:r w:rsidR="0084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понимаются: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по делу о нарушении антимонопольного законодательства, принятые антимонопольным органом в отношении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района;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выданные антимонопольным органом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направленные антимонопольным органом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1378C" w:rsidRPr="0011378C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11378C"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11378C"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по формуле: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180465" cy="389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Кэпнпа - коэффициент эффективности выявления рисков нарушения антимонопольного законодательства в проектах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Кпнпа - количество проектов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 - количество проектов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11378C" w:rsidRPr="0011378C" w:rsidRDefault="0011378C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 отчетный период в проектах актов антимонопольным органом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района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</w:t>
      </w:r>
      <w:r w:rsidR="008600F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8600F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 использовать значение показателя </w:t>
      </w:r>
      <w:r w:rsidR="008600F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0,1</w:t>
      </w:r>
      <w:r w:rsidR="008600F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137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5690D"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E5690D"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по формуле:</w:t>
      </w:r>
    </w:p>
    <w:p w:rsid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057910" cy="389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Кэнпа - коэффициент эффективности выявления нарушений антимонопольного законодательства в нормативных правовых актах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Кнпа - количество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КНоп - количество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выявлялись, для целей расчета применительно к данному периоду в соответствующем числителе или знаменателе вместо значения показателя </w:t>
      </w:r>
      <w:r w:rsidR="00206E4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206E4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следует использовать значение показателя </w:t>
      </w:r>
      <w:r w:rsidR="00206E4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0,1</w:t>
      </w:r>
      <w:r w:rsidR="00206E4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C6" w:rsidRDefault="00D854C6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436E3" w:rsidRDefault="00D854C6" w:rsidP="008436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МЕТОДИКА РАСЧЕТА КЛЮЧЕВЫХ ПОКАЗАТЕЛЕЙ ЭФФЕКТИВНОСТИ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ФУНКЦИОНИРОВАНИЯ АНТИМОНОПОЛЬНОГО КОМПЛАЕНСА</w:t>
      </w:r>
      <w:r w:rsid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436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CF1C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УПОЛНОМОЧЕННОГО ПОДРАЗДЕЛЕНИЯ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Для уполномоченного подразделения (должностного лица) рассчитывается КПЭ - доля сотрудников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Доля сотрудников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036955" cy="4095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</w:t>
      </w:r>
    </w:p>
    <w:p w:rsid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ДСо - доля сотрудников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КСо - количество сотрудников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комплаенсу;</w:t>
      </w:r>
    </w:p>
    <w:p w:rsidR="00E5690D" w:rsidRPr="00E5690D" w:rsidRDefault="00E5690D" w:rsidP="00E5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КСобщ - общее количество сотрудников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Pr="008A44D1" w:rsidRDefault="00D854C6" w:rsidP="00D85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ПОРЯДОК ОЦЕНКИ ЗНАЧЕНИЙ КЛЮЧЕВЫХ ПОКАЗАТЕЛЕЙ</w:t>
      </w:r>
    </w:p>
    <w:p w:rsidR="00EB4372" w:rsidRDefault="00D854C6" w:rsidP="00EB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</w:t>
      </w:r>
      <w:r w:rsidR="008A4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РАЙОНА</w:t>
      </w:r>
    </w:p>
    <w:p w:rsidR="00E5690D" w:rsidRPr="00EB4372" w:rsidRDefault="00E5690D" w:rsidP="00EB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4.1. Оценка значений КПЭ "коэффициент снижения количества нарушений антимонопольного законодательства со стороны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последние три года".</w:t>
      </w:r>
    </w:p>
    <w:p w:rsidR="00DA6379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последние три года" определяется в рамках анализа выявленных нарушений антимонопольного законодательства в деятельности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предыдущие три года (наличие предостережений, предупреждений, штрафов, жалоб, возбужденных дел)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Ежегодная оценка значения КПЭ </w:t>
      </w:r>
      <w:r w:rsidR="009C719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показатель снижения количества нарушений антимонопольного законодательства со стороны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последние три года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призвана обеспечить понимание эффективности функционирования антимонопольного комплаенса в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служит одним из ключевых факторов для определения областей деятельности, содержащих высокие комплаенс-риски.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Целевое значение коэффициента определяется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самостоятельно. 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снижения количества нарушений антимонопольного законодательства со стороны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A6379"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последние три года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превышать значение 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Показатель снижения количества нарушений антимонопольного законодательства со стороны </w:t>
      </w:r>
      <w:r w:rsidR="00DA637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DA6379"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последние три года должен учитываться при составлении карты рисков и 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дорожной карты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устранению выявленных рисков.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Оценка значений КПЭ 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F000E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F000E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751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F33A7D" w:rsidRDefault="00F33A7D" w:rsidP="00F33A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вышеуказанных значений ключевых показателей направлена на понимание эффективности мероприятий </w:t>
      </w:r>
      <w:hyperlink r:id="rId15" w:anchor="Par38" w:tooltip="ПОЛОЖЕНИЕ" w:history="1">
        <w:r w:rsidRPr="00EB437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</w:t>
        </w:r>
      </w:hyperlink>
      <w:r w:rsidRPr="00EB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района, утвержденного постановлением администрации района от 16.01.2020 № 15-п.</w:t>
      </w:r>
    </w:p>
    <w:p w:rsidR="00E5690D" w:rsidRPr="00E5690D" w:rsidRDefault="00E5690D" w:rsidP="00F3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эффективном проведении мероприятий по анализу нормативных правовых актов </w:t>
      </w:r>
      <w:r w:rsidR="00F33A7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</w:t>
      </w:r>
      <w:r w:rsidR="00F33A7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907060" w:rsidRDefault="00907060" w:rsidP="00907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Значения ключевого показателя будет тем выше, чем эффективнее осуществляются соответствующие мероприятия антимонопольного комплаенса.</w:t>
      </w:r>
    </w:p>
    <w:p w:rsidR="00E5690D" w:rsidRPr="00E5690D" w:rsidRDefault="00E5690D" w:rsidP="00907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Целевое значение коэффициента определяется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самостоятельно. При этом следует учитывать, что в случае, если количество проектов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содержащих риски нарушения антимонопольного законодательства, или актов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рисков нарушения антимонопольного законодательства проектами нормативных правовых актов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 эффективности выявления нарушений антимонопольного законодательства нормативными правовыми актами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превышать значение 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Оценка значения КПЭ 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 w:rsidR="0097526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Консультирование и обучение служащих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вопросам, связанным с соблюдением антимонопольного законодательства и антимонопольным комплаенсом, отнесено к компетенции уполномоченного подразделения (должностного лица) согласно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</w:t>
      </w:r>
      <w:r w:rsidR="00D71347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района, утвержденного постановлением администрации района от 16.01.2020 № 15-п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данного показателя предусматривает определение сотрудников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E5690D" w:rsidRPr="00E5690D" w:rsidRDefault="00E5690D" w:rsidP="00DA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Целевое значение коэффициента определяется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самостоятельно. При этом следует учитывать, что в случае, если общее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служащих,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значение ключевого показателя </w:t>
      </w:r>
      <w:r w:rsidR="00573E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сотрудников </w:t>
      </w:r>
      <w:r w:rsidR="00D7134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района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были проведены обучающие мероприятия по антимонопольному законодательству и антимонопольному комплаенсу</w:t>
      </w:r>
      <w:r w:rsidR="00573E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будет составлять </w:t>
      </w:r>
      <w:r w:rsidR="00573E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73E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569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25AC" w:rsidRDefault="001425AC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54C6" w:rsidRDefault="00D854C6" w:rsidP="00D8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54C6" w:rsidSect="003169C5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90" w:rsidRDefault="00365890" w:rsidP="003169C5">
      <w:pPr>
        <w:spacing w:after="0" w:line="240" w:lineRule="auto"/>
      </w:pPr>
      <w:r>
        <w:separator/>
      </w:r>
    </w:p>
  </w:endnote>
  <w:endnote w:type="continuationSeparator" w:id="0">
    <w:p w:rsidR="00365890" w:rsidRDefault="00365890" w:rsidP="003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90" w:rsidRDefault="00365890" w:rsidP="003169C5">
      <w:pPr>
        <w:spacing w:after="0" w:line="240" w:lineRule="auto"/>
      </w:pPr>
      <w:r>
        <w:separator/>
      </w:r>
    </w:p>
  </w:footnote>
  <w:footnote w:type="continuationSeparator" w:id="0">
    <w:p w:rsidR="00365890" w:rsidRDefault="00365890" w:rsidP="003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8270"/>
      <w:docPartObj>
        <w:docPartGallery w:val="Page Numbers (Top of Page)"/>
        <w:docPartUnique/>
      </w:docPartObj>
    </w:sdtPr>
    <w:sdtContent>
      <w:p w:rsidR="00975266" w:rsidRDefault="00FD79E5">
        <w:pPr>
          <w:pStyle w:val="a5"/>
          <w:jc w:val="center"/>
        </w:pPr>
        <w:fldSimple w:instr=" PAGE   \* MERGEFORMAT ">
          <w:r w:rsidR="00C24FC7">
            <w:rPr>
              <w:noProof/>
            </w:rPr>
            <w:t>2</w:t>
          </w:r>
        </w:fldSimple>
      </w:p>
    </w:sdtContent>
  </w:sdt>
  <w:p w:rsidR="00975266" w:rsidRDefault="009752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F7F"/>
    <w:multiLevelType w:val="hybridMultilevel"/>
    <w:tmpl w:val="C37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C8B"/>
    <w:rsid w:val="00002BAF"/>
    <w:rsid w:val="00005189"/>
    <w:rsid w:val="000A3A3A"/>
    <w:rsid w:val="00103301"/>
    <w:rsid w:val="00103D24"/>
    <w:rsid w:val="0011378C"/>
    <w:rsid w:val="001425AC"/>
    <w:rsid w:val="00167CDB"/>
    <w:rsid w:val="001B397F"/>
    <w:rsid w:val="001F0E21"/>
    <w:rsid w:val="00206E44"/>
    <w:rsid w:val="00224FD1"/>
    <w:rsid w:val="002368BF"/>
    <w:rsid w:val="00260AF4"/>
    <w:rsid w:val="00271B23"/>
    <w:rsid w:val="003001EF"/>
    <w:rsid w:val="003010E0"/>
    <w:rsid w:val="00313FD5"/>
    <w:rsid w:val="003169C5"/>
    <w:rsid w:val="00365890"/>
    <w:rsid w:val="00375CF6"/>
    <w:rsid w:val="00457DBF"/>
    <w:rsid w:val="004777DA"/>
    <w:rsid w:val="0049392D"/>
    <w:rsid w:val="005072BD"/>
    <w:rsid w:val="00573E68"/>
    <w:rsid w:val="00591958"/>
    <w:rsid w:val="00594900"/>
    <w:rsid w:val="005A13ED"/>
    <w:rsid w:val="005C2B0E"/>
    <w:rsid w:val="005D4A88"/>
    <w:rsid w:val="00602F71"/>
    <w:rsid w:val="00621D48"/>
    <w:rsid w:val="00634253"/>
    <w:rsid w:val="0064210A"/>
    <w:rsid w:val="00671159"/>
    <w:rsid w:val="006771C1"/>
    <w:rsid w:val="006A117C"/>
    <w:rsid w:val="00707947"/>
    <w:rsid w:val="00715535"/>
    <w:rsid w:val="00751976"/>
    <w:rsid w:val="00753348"/>
    <w:rsid w:val="00780FE3"/>
    <w:rsid w:val="00786A4B"/>
    <w:rsid w:val="007B1A34"/>
    <w:rsid w:val="008256F4"/>
    <w:rsid w:val="008436E3"/>
    <w:rsid w:val="00844EED"/>
    <w:rsid w:val="008600F1"/>
    <w:rsid w:val="00877A7A"/>
    <w:rsid w:val="008A44D1"/>
    <w:rsid w:val="008C32A0"/>
    <w:rsid w:val="008E14F8"/>
    <w:rsid w:val="00907060"/>
    <w:rsid w:val="00951FEA"/>
    <w:rsid w:val="00975266"/>
    <w:rsid w:val="009C719F"/>
    <w:rsid w:val="00A03948"/>
    <w:rsid w:val="00A22C8B"/>
    <w:rsid w:val="00A4008E"/>
    <w:rsid w:val="00A43BED"/>
    <w:rsid w:val="00A57ECB"/>
    <w:rsid w:val="00A76BB4"/>
    <w:rsid w:val="00A83E5F"/>
    <w:rsid w:val="00AD2A7B"/>
    <w:rsid w:val="00B30BD8"/>
    <w:rsid w:val="00B7327E"/>
    <w:rsid w:val="00B73649"/>
    <w:rsid w:val="00B7630D"/>
    <w:rsid w:val="00C13B4E"/>
    <w:rsid w:val="00C24FC7"/>
    <w:rsid w:val="00C3772D"/>
    <w:rsid w:val="00C70B71"/>
    <w:rsid w:val="00C828A6"/>
    <w:rsid w:val="00CD5519"/>
    <w:rsid w:val="00CF1C87"/>
    <w:rsid w:val="00D3360D"/>
    <w:rsid w:val="00D71347"/>
    <w:rsid w:val="00D854C6"/>
    <w:rsid w:val="00DA6379"/>
    <w:rsid w:val="00DC01A4"/>
    <w:rsid w:val="00DD3892"/>
    <w:rsid w:val="00E07916"/>
    <w:rsid w:val="00E14C54"/>
    <w:rsid w:val="00E5690D"/>
    <w:rsid w:val="00EB4372"/>
    <w:rsid w:val="00EC5487"/>
    <w:rsid w:val="00EC7CF3"/>
    <w:rsid w:val="00ED1E3B"/>
    <w:rsid w:val="00F000E9"/>
    <w:rsid w:val="00F1263F"/>
    <w:rsid w:val="00F24CDC"/>
    <w:rsid w:val="00F33A7D"/>
    <w:rsid w:val="00F7594E"/>
    <w:rsid w:val="00F802A4"/>
    <w:rsid w:val="00FD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9C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69C5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F33A7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126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26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263F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26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2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022CF3F140A10F41A631B64003EBAC3672095D94FA139BE13A182DFD62C2F49513F39D6D7CAD53CF986765WEi2G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4;&#1058;&#1063;&#1045;&#1058;&#1067;%202024\&#1082;&#1086;&#1084;&#1087;&#1083;&#1072;&#1077;&#1085;&#1089;\&#1089;&#1072;&#1081;&#1090;\&#1052;&#1077;&#1090;&#1086;&#1076;&#1080;&#1082;&#1072;%20&#1088;&#1072;&#1089;&#1095;&#1077;&#1090;&#1072;%20&#1055;&#1086;&#1089;&#1090;&#1072;&#1085;&#1086;&#1074;&#1083;&#1077;&#1085;&#1080;&#1077;%20&#1086;&#1090;%2004.12.2020%20&#8470;%20477-4.docx" TargetMode="External"/><Relationship Id="rId10" Type="http://schemas.openxmlformats.org/officeDocument/2006/relationships/hyperlink" Target="consultantplus://offline/ref=E22EC635C06B64F7A145694326B7D65DF81B2AE66DA6A2178690B99199F75D10D1862178729B492C0A160943C0d9R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EC635C06B64F7A145694326B7D65DF81B2AE66DA6A2178690B99199F75D10D1862178729B492C0A160943C0d9R0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2020-12-08T08:15:00Z</cp:lastPrinted>
  <dcterms:created xsi:type="dcterms:W3CDTF">2024-12-05T03:05:00Z</dcterms:created>
  <dcterms:modified xsi:type="dcterms:W3CDTF">2025-01-14T02:48:00Z</dcterms:modified>
</cp:coreProperties>
</file>