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9B4426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9B4426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9B4426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4426" w:rsidRPr="00444BD3" w:rsidRDefault="009B4426" w:rsidP="009B4426">
      <w:pPr>
        <w:pStyle w:val="a3"/>
        <w:jc w:val="center"/>
        <w:rPr>
          <w:sz w:val="22"/>
        </w:rPr>
      </w:pPr>
      <w:r w:rsidRPr="00444BD3">
        <w:rPr>
          <w:rStyle w:val="ab"/>
          <w:szCs w:val="27"/>
        </w:rPr>
        <w:t>Наталия Абрамова, начальник Центра поддержки экспорта Красноярского края: «Экспортировать можно вс</w:t>
      </w:r>
      <w:r>
        <w:rPr>
          <w:rStyle w:val="ab"/>
          <w:szCs w:val="27"/>
        </w:rPr>
        <w:t>ё</w:t>
      </w:r>
      <w:r w:rsidRPr="00444BD3">
        <w:rPr>
          <w:rStyle w:val="ab"/>
          <w:szCs w:val="27"/>
        </w:rPr>
        <w:t>, что угодно. Нужно только знать, как и куда»</w:t>
      </w:r>
    </w:p>
    <w:p w:rsidR="009B4426" w:rsidRPr="000E2980" w:rsidRDefault="009B4426" w:rsidP="009B4426">
      <w:pPr>
        <w:pStyle w:val="a3"/>
        <w:spacing w:before="0" w:beforeAutospacing="0" w:after="0" w:afterAutospacing="0"/>
        <w:ind w:firstLine="680"/>
        <w:jc w:val="both"/>
      </w:pPr>
      <w:r w:rsidRPr="000E2980">
        <w:t xml:space="preserve">Осваивать зарубежные рынки можно и </w:t>
      </w:r>
      <w:r>
        <w:t xml:space="preserve">в </w:t>
      </w:r>
      <w:r w:rsidRPr="000E2980">
        <w:t>текущих экономических условиях. Намного проще делать это при участии специалистов. Опытные экспортёры или только те, кто рассматрива</w:t>
      </w:r>
      <w:r>
        <w:t>е</w:t>
      </w:r>
      <w:r w:rsidRPr="000E2980">
        <w:t>т выход на мировую арену</w:t>
      </w:r>
      <w:r>
        <w:t>,</w:t>
      </w:r>
      <w:r w:rsidRPr="000E2980">
        <w:t xml:space="preserve"> могут обратиться в Центр поддержки экспорта Красноярского края </w:t>
      </w:r>
      <w:r>
        <w:t xml:space="preserve">(подразделение регионального центра «Мой бизнес») </w:t>
      </w:r>
      <w:r w:rsidRPr="000E2980">
        <w:t xml:space="preserve">за помощью </w:t>
      </w:r>
      <w:r>
        <w:t xml:space="preserve">в поиске </w:t>
      </w:r>
      <w:r w:rsidRPr="000E2980">
        <w:t>зарубежных партн</w:t>
      </w:r>
      <w:r>
        <w:t>ё</w:t>
      </w:r>
      <w:r w:rsidRPr="000E2980">
        <w:t>ров, упаковке продукта и подготовке контракта, финансовым и нефинансовым мерам содействия.</w:t>
      </w:r>
    </w:p>
    <w:p w:rsidR="009B4426" w:rsidRPr="000E2980" w:rsidRDefault="009B4426" w:rsidP="009B4426">
      <w:pPr>
        <w:pStyle w:val="a3"/>
        <w:spacing w:before="0" w:beforeAutospacing="0" w:after="0" w:afterAutospacing="0"/>
        <w:ind w:firstLine="680"/>
        <w:jc w:val="both"/>
      </w:pPr>
      <w:r w:rsidRPr="000E2980">
        <w:t xml:space="preserve">Центр поддержки экспорта не первый год помогает малым и средним предприятиям выйти на внешние рынки. Центр работает </w:t>
      </w:r>
      <w:r>
        <w:t xml:space="preserve">по нацпроектам </w:t>
      </w:r>
      <w:r w:rsidRPr="000E2980">
        <w:t>«Малое и среднее предпринимательство» и «Международная кооперация и экспорт». Услуги, предоставляемые предпринимателям, субсидируются из бюджета. Таким образом, для бизнеса они бесплатны или предполагают небольшое софинансирование.</w:t>
      </w:r>
    </w:p>
    <w:p w:rsidR="009B4426" w:rsidRPr="000E2980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есть меры поддержки для экспортёров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наиболее перспективные направления есть для экспортёров при выходе на международный рынок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и многом другом рассказала начальник Центра поддержки экспорта Наталия Абрамова.</w:t>
      </w:r>
    </w:p>
    <w:p w:rsidR="009B4426" w:rsidRPr="000E2980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Зачем красноярскому бизнесу экспортное направление? Логистически мы находимся далеко от всех зарубежных площадок, да и российский рынок обширный – можно развиваться здесь.</w:t>
      </w:r>
    </w:p>
    <w:p w:rsidR="009B4426" w:rsidRPr="000E2980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Начну с того, что</w:t>
      </w:r>
      <w:r w:rsidRPr="000E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внешнеторговы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важны для экономики страны. </w:t>
      </w:r>
      <w:r w:rsidRPr="00E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поставщиком товаров и услуг на международный рынок, страна демонстрирует всему миру свои возможности, показывает себя как надежного партн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ра, с которым можно выстраивать долгосрочные доверительные отношения. 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Экспорт </w:t>
      </w:r>
      <w:r w:rsidRPr="00EF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стимулирует 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роизводство товаров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ускоряет темпы развития экономики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F355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источником поступления средств в бюджет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4426" w:rsidRPr="000E2980" w:rsidRDefault="009B4426" w:rsidP="009B44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говорить о том, что экспорт даёт предпринимателям края, то это, конечно же, новые возможности, новый этап развития, </w:t>
      </w:r>
      <w:r w:rsidRPr="000E2980">
        <w:rPr>
          <w:rFonts w:ascii="Times New Roman" w:hAnsi="Times New Roman" w:cs="Times New Roman"/>
          <w:sz w:val="24"/>
        </w:rPr>
        <w:t xml:space="preserve">расширение рынка сбыта. Для предприятий, которые уже насытили рынок в своём регионе, своей стране, экспорт продукции за рубеж может стать прекрасной возможностью, чтобы увеличить потенциал продаж. </w:t>
      </w:r>
    </w:p>
    <w:p w:rsidR="009B4426" w:rsidRPr="000E2980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980">
        <w:rPr>
          <w:rFonts w:ascii="Times New Roman" w:hAnsi="Times New Roman" w:cs="Times New Roman"/>
          <w:sz w:val="24"/>
        </w:rPr>
        <w:t xml:space="preserve">Кроме того, можно сказать, что экспорт – это статусное направление. Экспортируя за рубеж, компания повышает уровень своего бренда, а также </w:t>
      </w:r>
      <w:r w:rsidRPr="00B77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Pr="00B7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преимущества.</w:t>
      </w:r>
    </w:p>
    <w:p w:rsidR="009B4426" w:rsidRPr="000E2980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Какую помощь экспортёры могут получить в Центре поддержки экспорта?</w:t>
      </w:r>
    </w:p>
    <w:p w:rsidR="009B4426" w:rsidRPr="000E2980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Экспортёры в Центре поддержки экспорта края могут получить поддержу на всех этапах экспортного проекта. Начиная от выбора рынка, подготовки товара, регистрации торговой марки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поиска партнёров, например, путем 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 в международных выставках и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переговорных процессов в бизнес-миссиях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заканчивая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расчётом логистики,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сертификации продукции и производства, получения необходимых разрешений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сопровождением экспортной сделки.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оценить этап, на котором компания находится с точки зрения экспортного цикла, и вычислить, какие именно шаги нужно предпринять для успешного выхода на рынок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центра помогают определить риски для каждого предпринимателя, перспективы выхода, берёмся за каждый случай, но идти на экспорт или не идти – решает сам предприниматель. Важно отметить, что центр помогает бизнесу выводить продукцию за границу, но за качество и сам продукт, а значит, его позицию на рынке отвечает сам производитель.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Расскажите о ваших услугах подробнее: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каким может быть экспортный путь предпринимателя при поддержке центра?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услуги, которые оказываются при полном содействии центра, а есть услуги, которые находятся на софинансировании. Если двигаться непосредственно по этапам жизнен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цикла экспортного проекта, то 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выбора рынка мы можем посодействовать в проведении маркетинговых исследований – эта услуга на софинансировании, также провести аналитику зарубежных рынков,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определиться перспективно ли данное направление для определенного вида продукции, можем посодействовать в поиске партн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ров.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партн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можно различными инструментами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ачиная от прямого поиска в определенной стране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организовывать участие в выставочно-ярмарочных мероприятиях, проводить бизнес-миссии 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делегаций, состоящих из потенциальных покупателей на территории края.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же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поиска партн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мы можем размещать компании на международных торговых электронных площадках, что способствует поиску парт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нё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продукта. </w:t>
      </w:r>
    </w:p>
    <w:p w:rsidR="009B4426" w:rsidRPr="000E2980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компания уже нашла партн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то мы можем оказывать содействие в сопровождении экспортного контракта. Сюда 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сопровождение – это составление или проведение экспертизы контракта и плюс сопутствующие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по налогообложению, по валютному регулированию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таможенному оформлению.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 компании есть партн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и заключ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>н экспортный контракт, то мы можем посодействовать в транспортировке продукции, покрыть часть транспортных расходов при доставке продукции конечному покупателю, также мы можем провести сертификацию продукции,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есть</w:t>
      </w:r>
      <w:r w:rsidRPr="000E2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адаптировать товар под требования иностранного рынка.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насчет международных выставок? Насколько этот вариант продвижения популярен у экспортёров края? Может ли центр помочь с участием? 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о-прежнему выставки являются одним из самых действенных и эффективных 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на зарубежный рынок.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компании выезжают в страну пребывания, принимают участие в специализированной выставке, куда приходит достаточно большой поток потенциальных иностранных покупателей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прямо на месте могут познакомиться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потенциальными партнёрами, а затем </w:t>
      </w:r>
      <w:r w:rsidRPr="002A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условия 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2A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многим компаниям помогаем принять участие в выставке. Предусмотрено два формата участия – коллективный стенд от Красноярского края и индивидуально. </w:t>
      </w:r>
    </w:p>
    <w:p w:rsidR="009B4426" w:rsidRPr="00444BD3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запланировано проведение более 10 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выставочных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из них уже прошли, часть ещё в процессе подготовки и реализации.</w:t>
      </w:r>
      <w:r w:rsidRPr="00444BD3">
        <w:t xml:space="preserve"> 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Сейчас набирает обороты возможность продвижения своих товаров не только в медиа пространстве, но и на маркетплейсах. Насколько данная услуга актуальна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523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ентре? 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торговые площадки в последнее время как инструмент для поиска потенциальных партнёров укрепили свои позиции. Учитывая мировую обстановку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слегка изменился инструментарий.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уществуют площадки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азличного формата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Есть площадки для продажи конечному покупателю, а 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поиска бизнес-партнёров. Так же есть 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отраслевые 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деревообрабатывающей отрасли. Т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помогаем размещать товары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площадках, которые ориентированы на продажу продукции на азиатски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рынках,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 размещение косметической продукции и продуктов питания.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сейчас наиболее перспективные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</w:t>
      </w:r>
      <w:r w:rsidRPr="00523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выходе на международный рынок?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экспортёры продвигают свою продукцию в странах, граничащих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Россией – это 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 Киргизия, Беларусь, Армения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СНГ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426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читывая геополитическую обстановку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идёт переориентация потоков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Азию – это Вьетнам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персидского залива.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 направился в сторону стран Африки. То есть бизнес-направления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продаж</w:t>
      </w:r>
      <w:r w:rsidRPr="00B5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перестраиваются и рынок начинает смотреть в новые направления.</w:t>
      </w:r>
    </w:p>
    <w:p w:rsidR="009B4426" w:rsidRPr="00523399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считаете, какие основные драйверы роста экспорта существуют? На что красноярцам следует делать упор, чтобы экспорта было в 10, 20, 30 раз больше?</w:t>
      </w:r>
    </w:p>
    <w:p w:rsidR="009B4426" w:rsidRPr="00444BD3" w:rsidRDefault="009B4426" w:rsidP="009B442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драйвером для роста экспорта, я думаю, является наличие товара, который может быть востребован на зарубежном рынке, и самое основное, наверное, желание и ресурс компании заниматься этим. Во всём, что касается организации экспорта мы можем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 w:rsidRPr="0044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обучить, можем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</w:t>
      </w:r>
      <w:r w:rsidRPr="0044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ксную акселерационную программу, </w:t>
      </w:r>
      <w:r w:rsidRPr="00444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сопровождении наставника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Pr="0044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определиться с экспортной стратегией и разработать дорожную карту по выходу на экспортные рынки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</w:t>
      </w:r>
      <w:r w:rsidRPr="00444B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яем</w:t>
      </w:r>
      <w:r w:rsidRPr="0044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инструменты господдержки, которые поддержат компанию и помогут сократить ей издержки на организацию экспорта товаров.</w:t>
      </w:r>
    </w:p>
    <w:p w:rsidR="009B4426" w:rsidRPr="00444BD3" w:rsidRDefault="009B4426" w:rsidP="009B4426">
      <w:pPr>
        <w:pStyle w:val="a3"/>
        <w:spacing w:before="0" w:beforeAutospacing="0" w:after="0" w:afterAutospacing="0"/>
        <w:ind w:firstLine="680"/>
        <w:jc w:val="both"/>
        <w:rPr>
          <w:rStyle w:val="ab"/>
        </w:rPr>
      </w:pPr>
      <w:r w:rsidRPr="00444BD3">
        <w:rPr>
          <w:rStyle w:val="ab"/>
        </w:rPr>
        <w:t>Если предприниматель задумывается о том, чтобы продавать свою продукцию за границу, но не знает, как к этому подступиться, с чего ему лучше начать?</w:t>
      </w:r>
    </w:p>
    <w:p w:rsidR="009B4426" w:rsidRPr="009B4426" w:rsidRDefault="009B4426" w:rsidP="009B4426">
      <w:pPr>
        <w:pStyle w:val="a3"/>
        <w:spacing w:before="0" w:beforeAutospacing="0" w:after="0" w:afterAutospacing="0"/>
        <w:ind w:firstLine="680"/>
        <w:jc w:val="both"/>
        <w:rPr>
          <w:rStyle w:val="ab"/>
          <w:b w:val="0"/>
        </w:rPr>
      </w:pPr>
      <w:r w:rsidRPr="009B4426">
        <w:rPr>
          <w:rStyle w:val="ab"/>
          <w:b w:val="0"/>
        </w:rPr>
        <w:t xml:space="preserve">Нужно обратиться в региональный центр «Мой бизнес», подразделением которого является Центр поддержки экспорта. </w:t>
      </w:r>
    </w:p>
    <w:p w:rsidR="009B4426" w:rsidRDefault="009B4426" w:rsidP="009B4426">
      <w:pPr>
        <w:pStyle w:val="a3"/>
        <w:spacing w:before="0" w:beforeAutospacing="0" w:after="0" w:afterAutospacing="0"/>
        <w:ind w:firstLine="680"/>
        <w:jc w:val="both"/>
      </w:pPr>
      <w:r w:rsidRPr="00444BD3">
        <w:lastRenderedPageBreak/>
        <w:t>Найти нас просто – есть сайт</w:t>
      </w:r>
      <w:r>
        <w:t xml:space="preserve"> </w:t>
      </w:r>
      <w:hyperlink r:id="rId10" w:history="1">
        <w:r w:rsidRPr="00031E7A">
          <w:rPr>
            <w:rStyle w:val="a4"/>
          </w:rPr>
          <w:t>мойбизнес-24.рф/</w:t>
        </w:r>
      </w:hyperlink>
      <w:r w:rsidRPr="00444BD3">
        <w:t>, можно позвонить по тел. 8 800 234 0 124, а также обратиться</w:t>
      </w:r>
      <w:r>
        <w:t xml:space="preserve"> лично </w:t>
      </w:r>
      <w:r w:rsidRPr="00444BD3">
        <w:t>по адресу ул. Александра Матросова 2</w:t>
      </w:r>
      <w:r>
        <w:t xml:space="preserve"> или в подразделение центра «Мой бизнес» в вашем районе.</w:t>
      </w:r>
    </w:p>
    <w:p w:rsidR="009B4426" w:rsidRDefault="009B4426" w:rsidP="009B4426">
      <w:pPr>
        <w:pStyle w:val="a3"/>
        <w:spacing w:before="0" w:beforeAutospacing="0" w:after="0" w:afterAutospacing="0"/>
        <w:ind w:firstLine="680"/>
        <w:jc w:val="both"/>
      </w:pPr>
    </w:p>
    <w:p w:rsidR="009B4426" w:rsidRDefault="009B4426" w:rsidP="009B4426">
      <w:pPr>
        <w:pStyle w:val="a3"/>
        <w:spacing w:before="0" w:beforeAutospacing="0" w:after="0" w:afterAutospacing="0"/>
        <w:ind w:firstLine="680"/>
        <w:jc w:val="both"/>
      </w:pPr>
      <w:bookmarkStart w:id="0" w:name="_GoBack"/>
      <w:bookmarkEnd w:id="0"/>
    </w:p>
    <w:p w:rsidR="00961E30" w:rsidRDefault="00961E30" w:rsidP="009B4426">
      <w:pPr>
        <w:pStyle w:val="a3"/>
        <w:spacing w:before="0" w:beforeAutospacing="0" w:after="0" w:afterAutospacing="0"/>
        <w:ind w:firstLine="680"/>
        <w:jc w:val="both"/>
        <w:rPr>
          <w:bCs/>
          <w:i/>
        </w:rPr>
      </w:pPr>
      <w:r w:rsidRPr="004E0352">
        <w:rPr>
          <w:bCs/>
          <w:i/>
        </w:rPr>
        <w:t>Дополнительная</w:t>
      </w:r>
      <w:r w:rsidR="00227140">
        <w:rPr>
          <w:bCs/>
          <w:i/>
        </w:rPr>
        <w:t xml:space="preserve"> информация для СМИ: </w:t>
      </w:r>
      <w:r w:rsidR="00FD623F">
        <w:rPr>
          <w:i/>
        </w:rPr>
        <w:t xml:space="preserve">+ 7 </w:t>
      </w:r>
      <w:r>
        <w:rPr>
          <w:bCs/>
          <w:i/>
        </w:rPr>
        <w:t>(391) 222-55-03</w:t>
      </w:r>
      <w:r w:rsidRPr="004E0352">
        <w:rPr>
          <w:bCs/>
          <w:i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bCs/>
          <w:i/>
        </w:rPr>
        <w:t>.</w:t>
      </w:r>
    </w:p>
    <w:p w:rsidR="00961E30" w:rsidRDefault="00961E30" w:rsidP="009B4426">
      <w:pPr>
        <w:spacing w:after="0" w:line="240" w:lineRule="auto"/>
        <w:ind w:firstLine="709"/>
        <w:jc w:val="both"/>
        <w:rPr>
          <w:b/>
          <w:bCs/>
        </w:rPr>
      </w:pPr>
    </w:p>
    <w:p w:rsidR="00961E30" w:rsidRDefault="00961E30" w:rsidP="009B44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9B4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91" w:rsidRDefault="006E4691" w:rsidP="00800905">
      <w:pPr>
        <w:spacing w:after="0" w:line="240" w:lineRule="auto"/>
      </w:pPr>
      <w:r>
        <w:separator/>
      </w:r>
    </w:p>
  </w:endnote>
  <w:end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91" w:rsidRDefault="006E4691" w:rsidP="00800905">
      <w:pPr>
        <w:spacing w:after="0" w:line="240" w:lineRule="auto"/>
      </w:pPr>
      <w:r>
        <w:separator/>
      </w:r>
    </w:p>
  </w:footnote>
  <w:foot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B4426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9708D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9B4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84;&#1086;&#1081;&#1073;&#1080;&#1079;&#1085;&#1077;&#1089;-24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2023-08-04T02:49:00Z</dcterms:created>
  <dcterms:modified xsi:type="dcterms:W3CDTF">2023-08-04T02:49:00Z</dcterms:modified>
</cp:coreProperties>
</file>