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CA" w:rsidRDefault="002F64CA" w:rsidP="002F64CA">
      <w:pPr>
        <w:pStyle w:val="11"/>
        <w:widowControl w:val="0"/>
        <w:pBdr>
          <w:top w:val="nil"/>
          <w:left w:val="nil"/>
          <w:bottom w:val="nil"/>
          <w:right w:val="nil"/>
          <w:between w:val="nil"/>
        </w:pBdr>
        <w:spacing w:line="276" w:lineRule="auto"/>
        <w:rPr>
          <w:rFonts w:ascii="Arial" w:eastAsia="Arial" w:hAnsi="Arial" w:cs="Arial"/>
          <w:color w:val="000000"/>
          <w:sz w:val="22"/>
          <w:szCs w:val="22"/>
        </w:rPr>
      </w:pPr>
    </w:p>
    <w:tbl>
      <w:tblPr>
        <w:tblW w:w="10740" w:type="dxa"/>
        <w:tblInd w:w="-216" w:type="dxa"/>
        <w:tblLayout w:type="fixed"/>
        <w:tblLook w:val="0000"/>
      </w:tblPr>
      <w:tblGrid>
        <w:gridCol w:w="4786"/>
        <w:gridCol w:w="3686"/>
        <w:gridCol w:w="2268"/>
      </w:tblGrid>
      <w:tr w:rsidR="002F64CA" w:rsidRPr="003E2946" w:rsidTr="00E73058">
        <w:trPr>
          <w:cantSplit/>
          <w:trHeight w:val="1414"/>
          <w:tblHeader/>
        </w:trPr>
        <w:tc>
          <w:tcPr>
            <w:tcW w:w="4786" w:type="dxa"/>
          </w:tcPr>
          <w:p w:rsidR="002F64CA" w:rsidRDefault="002F64CA" w:rsidP="00E73058">
            <w:pPr>
              <w:pStyle w:val="11"/>
              <w:pBdr>
                <w:top w:val="nil"/>
                <w:left w:val="nil"/>
                <w:bottom w:val="nil"/>
                <w:right w:val="nil"/>
                <w:between w:val="nil"/>
              </w:pBdr>
              <w:ind w:hanging="2"/>
              <w:rPr>
                <w:color w:val="000000"/>
                <w:sz w:val="22"/>
                <w:szCs w:val="22"/>
              </w:rPr>
            </w:pPr>
            <w:r>
              <w:rPr>
                <w:noProof/>
                <w:color w:val="000000"/>
                <w:sz w:val="22"/>
                <w:szCs w:val="22"/>
              </w:rPr>
              <w:drawing>
                <wp:inline distT="0" distB="0" distL="114300" distR="114300">
                  <wp:extent cx="2646680" cy="61468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46680" cy="614680"/>
                          </a:xfrm>
                          <a:prstGeom prst="rect">
                            <a:avLst/>
                          </a:prstGeom>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387985</wp:posOffset>
                  </wp:positionV>
                  <wp:extent cx="2359025" cy="49085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59025" cy="490855"/>
                          </a:xfrm>
                          <a:prstGeom prst="rect">
                            <a:avLst/>
                          </a:prstGeom>
                          <a:ln/>
                        </pic:spPr>
                      </pic:pic>
                    </a:graphicData>
                  </a:graphic>
                </wp:anchor>
              </w:drawing>
            </w:r>
          </w:p>
        </w:tc>
        <w:tc>
          <w:tcPr>
            <w:tcW w:w="3686" w:type="dxa"/>
          </w:tcPr>
          <w:p w:rsidR="002F64CA" w:rsidRDefault="002F64CA" w:rsidP="00E73058">
            <w:pPr>
              <w:pStyle w:val="11"/>
              <w:pBdr>
                <w:top w:val="nil"/>
                <w:left w:val="nil"/>
                <w:bottom w:val="nil"/>
                <w:right w:val="nil"/>
                <w:between w:val="nil"/>
              </w:pBdr>
              <w:jc w:val="right"/>
              <w:rPr>
                <w:color w:val="000000"/>
                <w:sz w:val="22"/>
                <w:szCs w:val="22"/>
              </w:rPr>
            </w:pPr>
          </w:p>
          <w:p w:rsidR="002F64CA" w:rsidRPr="00764261" w:rsidRDefault="002F64CA" w:rsidP="00E73058">
            <w:pPr>
              <w:pStyle w:val="11"/>
              <w:pBdr>
                <w:top w:val="nil"/>
                <w:left w:val="nil"/>
                <w:bottom w:val="nil"/>
                <w:right w:val="nil"/>
                <w:between w:val="nil"/>
              </w:pBdr>
              <w:jc w:val="right"/>
              <w:rPr>
                <w:color w:val="000000"/>
                <w:sz w:val="22"/>
                <w:szCs w:val="22"/>
                <w:lang w:val="en-US"/>
              </w:rPr>
            </w:pPr>
            <w:r w:rsidRPr="00764261">
              <w:rPr>
                <w:color w:val="000000"/>
                <w:sz w:val="22"/>
                <w:szCs w:val="22"/>
                <w:lang w:val="en-US"/>
              </w:rPr>
              <w:t>e-mail: pressa@24.sfr.gov.ru</w:t>
            </w:r>
          </w:p>
          <w:p w:rsidR="002F64CA" w:rsidRPr="00764261" w:rsidRDefault="002F64CA" w:rsidP="00E73058">
            <w:pPr>
              <w:pStyle w:val="11"/>
              <w:pBdr>
                <w:top w:val="nil"/>
                <w:left w:val="nil"/>
                <w:bottom w:val="nil"/>
                <w:right w:val="nil"/>
                <w:between w:val="nil"/>
              </w:pBdr>
              <w:jc w:val="right"/>
              <w:rPr>
                <w:color w:val="000000"/>
                <w:sz w:val="22"/>
                <w:szCs w:val="22"/>
                <w:lang w:val="en-US"/>
              </w:rPr>
            </w:pPr>
            <w:r w:rsidRPr="00764261">
              <w:rPr>
                <w:color w:val="000000"/>
                <w:sz w:val="22"/>
                <w:szCs w:val="22"/>
                <w:lang w:val="en-US"/>
              </w:rPr>
              <w:t>https://vk.com/sfr.krasnojarskjkraj</w:t>
            </w:r>
          </w:p>
          <w:p w:rsidR="002F64CA" w:rsidRPr="00764261" w:rsidRDefault="002F64CA" w:rsidP="00E73058">
            <w:pPr>
              <w:pStyle w:val="11"/>
              <w:pBdr>
                <w:top w:val="nil"/>
                <w:left w:val="nil"/>
                <w:bottom w:val="nil"/>
                <w:right w:val="nil"/>
                <w:between w:val="nil"/>
              </w:pBdr>
              <w:jc w:val="right"/>
              <w:rPr>
                <w:color w:val="000000"/>
                <w:sz w:val="22"/>
                <w:szCs w:val="22"/>
                <w:lang w:val="en-US"/>
              </w:rPr>
            </w:pPr>
            <w:r w:rsidRPr="00764261">
              <w:rPr>
                <w:color w:val="000000"/>
                <w:sz w:val="22"/>
                <w:szCs w:val="22"/>
                <w:lang w:val="en-US"/>
              </w:rPr>
              <w:t>https://ok.ru/sfr.krasnojarskjkraj</w:t>
            </w:r>
          </w:p>
          <w:p w:rsidR="002F64CA" w:rsidRPr="00764261" w:rsidRDefault="002F64CA" w:rsidP="00E73058">
            <w:pPr>
              <w:pStyle w:val="11"/>
              <w:pBdr>
                <w:top w:val="nil"/>
                <w:left w:val="nil"/>
                <w:bottom w:val="nil"/>
                <w:right w:val="nil"/>
                <w:between w:val="nil"/>
              </w:pBdr>
              <w:jc w:val="right"/>
              <w:rPr>
                <w:color w:val="000000"/>
                <w:sz w:val="22"/>
                <w:szCs w:val="22"/>
                <w:lang w:val="en-US"/>
              </w:rPr>
            </w:pPr>
            <w:r w:rsidRPr="00764261">
              <w:rPr>
                <w:color w:val="000000"/>
                <w:sz w:val="22"/>
                <w:szCs w:val="22"/>
                <w:lang w:val="en-US"/>
              </w:rPr>
              <w:t>https://t.me/sfr_krasnoyarskiykray</w:t>
            </w:r>
          </w:p>
        </w:tc>
        <w:tc>
          <w:tcPr>
            <w:tcW w:w="2268" w:type="dxa"/>
          </w:tcPr>
          <w:p w:rsidR="002F64CA" w:rsidRPr="00764261" w:rsidRDefault="002F64CA" w:rsidP="00E73058">
            <w:pPr>
              <w:pStyle w:val="11"/>
              <w:pBdr>
                <w:top w:val="nil"/>
                <w:left w:val="nil"/>
                <w:bottom w:val="nil"/>
                <w:right w:val="nil"/>
                <w:between w:val="nil"/>
              </w:pBdr>
              <w:jc w:val="right"/>
              <w:rPr>
                <w:color w:val="000000"/>
                <w:sz w:val="22"/>
                <w:szCs w:val="22"/>
                <w:lang w:val="en-US"/>
              </w:rPr>
            </w:pPr>
          </w:p>
          <w:p w:rsidR="002F64CA" w:rsidRPr="00764261" w:rsidRDefault="002F64CA" w:rsidP="00E73058">
            <w:pPr>
              <w:pStyle w:val="11"/>
              <w:pBdr>
                <w:top w:val="nil"/>
                <w:left w:val="nil"/>
                <w:bottom w:val="nil"/>
                <w:right w:val="nil"/>
                <w:between w:val="nil"/>
              </w:pBdr>
              <w:jc w:val="right"/>
              <w:rPr>
                <w:color w:val="000000"/>
                <w:sz w:val="22"/>
                <w:szCs w:val="22"/>
                <w:lang w:val="en-US"/>
              </w:rPr>
            </w:pPr>
          </w:p>
          <w:p w:rsidR="002F64CA" w:rsidRPr="00ED1592" w:rsidRDefault="002F64CA" w:rsidP="00E73058">
            <w:pPr>
              <w:pStyle w:val="11"/>
              <w:pBdr>
                <w:top w:val="nil"/>
                <w:left w:val="nil"/>
                <w:bottom w:val="nil"/>
                <w:right w:val="nil"/>
                <w:between w:val="nil"/>
              </w:pBdr>
              <w:ind w:hanging="2"/>
              <w:jc w:val="center"/>
              <w:rPr>
                <w:color w:val="000000"/>
                <w:sz w:val="22"/>
                <w:szCs w:val="22"/>
                <w:lang w:val="en-US"/>
              </w:rPr>
            </w:pPr>
          </w:p>
          <w:p w:rsidR="00485987" w:rsidRPr="00ED1592" w:rsidRDefault="00485987" w:rsidP="00E73058">
            <w:pPr>
              <w:pStyle w:val="11"/>
              <w:pBdr>
                <w:top w:val="nil"/>
                <w:left w:val="nil"/>
                <w:bottom w:val="nil"/>
                <w:right w:val="nil"/>
                <w:between w:val="nil"/>
              </w:pBdr>
              <w:ind w:hanging="2"/>
              <w:jc w:val="center"/>
              <w:rPr>
                <w:color w:val="000000"/>
                <w:sz w:val="22"/>
                <w:szCs w:val="22"/>
                <w:lang w:val="en-US"/>
              </w:rPr>
            </w:pPr>
          </w:p>
          <w:p w:rsidR="00485987" w:rsidRPr="00ED1592" w:rsidRDefault="00485987" w:rsidP="00E73058">
            <w:pPr>
              <w:pStyle w:val="11"/>
              <w:pBdr>
                <w:top w:val="nil"/>
                <w:left w:val="nil"/>
                <w:bottom w:val="nil"/>
                <w:right w:val="nil"/>
                <w:between w:val="nil"/>
              </w:pBdr>
              <w:ind w:hanging="2"/>
              <w:jc w:val="center"/>
              <w:rPr>
                <w:color w:val="000000"/>
                <w:sz w:val="22"/>
                <w:szCs w:val="22"/>
                <w:lang w:val="en-US"/>
              </w:rPr>
            </w:pPr>
          </w:p>
          <w:p w:rsidR="00485987" w:rsidRPr="00ED1592" w:rsidRDefault="00485987" w:rsidP="00E73058">
            <w:pPr>
              <w:pStyle w:val="11"/>
              <w:pBdr>
                <w:top w:val="nil"/>
                <w:left w:val="nil"/>
                <w:bottom w:val="nil"/>
                <w:right w:val="nil"/>
                <w:between w:val="nil"/>
              </w:pBdr>
              <w:ind w:hanging="2"/>
              <w:jc w:val="center"/>
              <w:rPr>
                <w:color w:val="000000"/>
                <w:sz w:val="22"/>
                <w:szCs w:val="22"/>
                <w:lang w:val="en-US"/>
              </w:rPr>
            </w:pPr>
          </w:p>
        </w:tc>
      </w:tr>
    </w:tbl>
    <w:p w:rsidR="009B5DEC" w:rsidRDefault="00ED1592" w:rsidP="009B5DEC">
      <w:pPr>
        <w:pStyle w:val="1"/>
        <w:spacing w:before="0" w:beforeAutospacing="0"/>
        <w:jc w:val="center"/>
        <w:rPr>
          <w:sz w:val="28"/>
          <w:szCs w:val="28"/>
        </w:rPr>
      </w:pPr>
      <w:r>
        <w:rPr>
          <w:sz w:val="28"/>
          <w:szCs w:val="28"/>
        </w:rPr>
        <w:t xml:space="preserve">Более 12 тысяч жителей Красноярского края получают повышенную фиксированную выплату к пенсии за воспитание </w:t>
      </w:r>
      <w:r w:rsidR="000811BE">
        <w:rPr>
          <w:sz w:val="28"/>
          <w:szCs w:val="28"/>
        </w:rPr>
        <w:t>несовершеннолетних детей и детей-студентов</w:t>
      </w:r>
    </w:p>
    <w:p w:rsidR="004F1390" w:rsidRDefault="00485987" w:rsidP="00AB2E60">
      <w:pPr>
        <w:pStyle w:val="11"/>
        <w:pBdr>
          <w:top w:val="nil"/>
          <w:left w:val="nil"/>
          <w:bottom w:val="nil"/>
          <w:right w:val="nil"/>
          <w:between w:val="nil"/>
        </w:pBdr>
        <w:spacing w:before="280" w:after="280" w:line="360" w:lineRule="auto"/>
        <w:ind w:firstLine="719"/>
        <w:jc w:val="both"/>
        <w:rPr>
          <w:rFonts w:ascii="Times New Roman" w:hAnsi="Times New Roman" w:cs="Times New Roman"/>
          <w:sz w:val="24"/>
          <w:szCs w:val="24"/>
        </w:rPr>
      </w:pPr>
      <w:r w:rsidRPr="00B47F39">
        <w:rPr>
          <w:rFonts w:ascii="Times New Roman" w:hAnsi="Times New Roman" w:cs="Times New Roman"/>
          <w:sz w:val="24"/>
          <w:szCs w:val="24"/>
        </w:rPr>
        <w:t>Отделени</w:t>
      </w:r>
      <w:r w:rsidR="00400D98">
        <w:rPr>
          <w:rFonts w:ascii="Times New Roman" w:hAnsi="Times New Roman" w:cs="Times New Roman"/>
          <w:sz w:val="24"/>
          <w:szCs w:val="24"/>
        </w:rPr>
        <w:t>е</w:t>
      </w:r>
      <w:r w:rsidRPr="00B47F39">
        <w:rPr>
          <w:rFonts w:ascii="Times New Roman" w:hAnsi="Times New Roman" w:cs="Times New Roman"/>
          <w:sz w:val="24"/>
          <w:szCs w:val="24"/>
        </w:rPr>
        <w:t xml:space="preserve"> Социального фонда России по Красноярскому краю </w:t>
      </w:r>
      <w:r w:rsidR="00400D98">
        <w:rPr>
          <w:rFonts w:ascii="Times New Roman" w:hAnsi="Times New Roman" w:cs="Times New Roman"/>
          <w:sz w:val="24"/>
          <w:szCs w:val="24"/>
        </w:rPr>
        <w:t xml:space="preserve">выплачивает повышенную фиксированную выплату к пенсии за </w:t>
      </w:r>
      <w:r w:rsidR="000811BE">
        <w:rPr>
          <w:rFonts w:ascii="Times New Roman" w:hAnsi="Times New Roman" w:cs="Times New Roman"/>
          <w:sz w:val="24"/>
          <w:szCs w:val="24"/>
        </w:rPr>
        <w:t xml:space="preserve">детей на иждивении более чем </w:t>
      </w:r>
      <w:r w:rsidR="00400D98">
        <w:rPr>
          <w:rFonts w:ascii="Times New Roman" w:hAnsi="Times New Roman" w:cs="Times New Roman"/>
          <w:sz w:val="24"/>
          <w:szCs w:val="24"/>
        </w:rPr>
        <w:t xml:space="preserve">12 тысячам жителей региона. </w:t>
      </w:r>
      <w:r w:rsidR="000811BE">
        <w:rPr>
          <w:rFonts w:ascii="Times New Roman" w:hAnsi="Times New Roman" w:cs="Times New Roman"/>
          <w:sz w:val="24"/>
          <w:szCs w:val="24"/>
        </w:rPr>
        <w:t xml:space="preserve">Такую </w:t>
      </w:r>
      <w:r w:rsidR="002139A6">
        <w:rPr>
          <w:rFonts w:ascii="Times New Roman" w:hAnsi="Times New Roman" w:cs="Times New Roman"/>
          <w:sz w:val="24"/>
          <w:szCs w:val="24"/>
        </w:rPr>
        <w:t>поддержку</w:t>
      </w:r>
      <w:r w:rsidR="000811BE">
        <w:rPr>
          <w:rFonts w:ascii="Times New Roman" w:hAnsi="Times New Roman" w:cs="Times New Roman"/>
          <w:sz w:val="24"/>
          <w:szCs w:val="24"/>
        </w:rPr>
        <w:t xml:space="preserve"> получают родители-пенсионеры, которые воспитывают несовершеннолетних детей или детей-студентов, обучающихся по очной форме, в возрасте до 23 лет, а также старше, если им с детства установлена инвалидность. </w:t>
      </w:r>
    </w:p>
    <w:p w:rsidR="00AB2E60" w:rsidRDefault="00621FF0" w:rsidP="00AB2E60">
      <w:pPr>
        <w:pStyle w:val="11"/>
        <w:pBdr>
          <w:top w:val="nil"/>
          <w:left w:val="nil"/>
          <w:bottom w:val="nil"/>
          <w:right w:val="nil"/>
          <w:between w:val="nil"/>
        </w:pBdr>
        <w:spacing w:before="280" w:after="280" w:line="360" w:lineRule="auto"/>
        <w:ind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Отделение СФР по Красноярскому краю назначает повышение как работающим, так и неработающим пенсионерам. </w:t>
      </w:r>
      <w:r w:rsidR="002139A6" w:rsidRPr="006E640E">
        <w:rPr>
          <w:rFonts w:ascii="Times New Roman" w:eastAsia="Times New Roman" w:hAnsi="Times New Roman" w:cs="Times New Roman"/>
          <w:sz w:val="24"/>
          <w:szCs w:val="24"/>
        </w:rPr>
        <w:t xml:space="preserve">Размер доплаты составляет 1/3 от величины фиксированной выплаты и устанавливается за каждого иждивенца, но не более чем на трех. </w:t>
      </w:r>
      <w:r>
        <w:rPr>
          <w:rFonts w:ascii="Times New Roman" w:eastAsia="Times New Roman" w:hAnsi="Times New Roman" w:cs="Times New Roman"/>
          <w:sz w:val="24"/>
          <w:szCs w:val="24"/>
        </w:rPr>
        <w:t xml:space="preserve">Фиксированная выплата подлежит ежегодной индексации. </w:t>
      </w:r>
      <w:r w:rsidR="002139A6" w:rsidRPr="006E640E">
        <w:rPr>
          <w:rFonts w:ascii="Times New Roman" w:eastAsia="Times New Roman" w:hAnsi="Times New Roman" w:cs="Times New Roman"/>
          <w:sz w:val="24"/>
          <w:szCs w:val="24"/>
        </w:rPr>
        <w:t>В 202</w:t>
      </w:r>
      <w:r>
        <w:rPr>
          <w:rFonts w:ascii="Times New Roman" w:eastAsia="Times New Roman" w:hAnsi="Times New Roman" w:cs="Times New Roman"/>
          <w:sz w:val="24"/>
          <w:szCs w:val="24"/>
        </w:rPr>
        <w:t>5</w:t>
      </w:r>
      <w:r w:rsidR="002139A6" w:rsidRPr="006E640E">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rPr>
        <w:t>размер доплаты на одного ребенка  сос</w:t>
      </w:r>
      <w:r w:rsidR="004F1390">
        <w:rPr>
          <w:rFonts w:ascii="Times New Roman" w:eastAsia="Times New Roman" w:hAnsi="Times New Roman" w:cs="Times New Roman"/>
          <w:sz w:val="24"/>
          <w:szCs w:val="24"/>
        </w:rPr>
        <w:t>тавляет 2 969 рублей 23 копейки.</w:t>
      </w:r>
    </w:p>
    <w:p w:rsidR="00AB2E60" w:rsidRDefault="00AB2E60" w:rsidP="00AB2E60">
      <w:pPr>
        <w:pStyle w:val="11"/>
        <w:pBdr>
          <w:top w:val="nil"/>
          <w:left w:val="nil"/>
          <w:bottom w:val="nil"/>
          <w:right w:val="nil"/>
          <w:between w:val="nil"/>
        </w:pBdr>
        <w:spacing w:before="280" w:after="280" w:line="360" w:lineRule="auto"/>
        <w:ind w:firstLine="719"/>
        <w:jc w:val="both"/>
        <w:rPr>
          <w:rFonts w:ascii="Times New Roman" w:eastAsia="Times New Roman" w:hAnsi="Times New Roman" w:cs="Times New Roman"/>
          <w:sz w:val="24"/>
          <w:szCs w:val="24"/>
        </w:rPr>
      </w:pPr>
      <w:r w:rsidRPr="006E640E">
        <w:rPr>
          <w:rFonts w:ascii="Times New Roman" w:eastAsia="Times New Roman" w:hAnsi="Times New Roman" w:cs="Times New Roman"/>
          <w:sz w:val="24"/>
          <w:szCs w:val="24"/>
        </w:rPr>
        <w:t>Надбавка устанавливается родителю-пенсионеру до совершеннолетия детей на иждивении независимо от факта учебы. Родителям студентов она назначается на период очного обучения, но не более чем до 23-летнего возраста.</w:t>
      </w:r>
    </w:p>
    <w:p w:rsidR="003972ED" w:rsidRDefault="004A76C3" w:rsidP="003972ED">
      <w:pPr>
        <w:pStyle w:val="11"/>
        <w:pBdr>
          <w:top w:val="nil"/>
          <w:left w:val="nil"/>
          <w:bottom w:val="nil"/>
          <w:right w:val="nil"/>
          <w:between w:val="nil"/>
        </w:pBdr>
        <w:spacing w:before="280" w:after="280" w:line="360" w:lineRule="auto"/>
        <w:ind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2025 году </w:t>
      </w:r>
      <w:r w:rsidR="003E5944">
        <w:rPr>
          <w:rFonts w:ascii="Times New Roman" w:eastAsia="Times New Roman" w:hAnsi="Times New Roman" w:cs="Times New Roman"/>
          <w:sz w:val="24"/>
          <w:szCs w:val="24"/>
        </w:rPr>
        <w:t xml:space="preserve">Отделение СФР по Красноярскому краю направило </w:t>
      </w:r>
      <w:r>
        <w:rPr>
          <w:rFonts w:ascii="Times New Roman" w:eastAsia="Times New Roman" w:hAnsi="Times New Roman" w:cs="Times New Roman"/>
          <w:sz w:val="24"/>
          <w:szCs w:val="24"/>
        </w:rPr>
        <w:t xml:space="preserve">жителям региона, имеющим на иждивении детей, </w:t>
      </w:r>
      <w:r w:rsidR="00373553">
        <w:rPr>
          <w:rFonts w:ascii="Times New Roman" w:eastAsia="Times New Roman" w:hAnsi="Times New Roman" w:cs="Times New Roman"/>
          <w:sz w:val="24"/>
          <w:szCs w:val="24"/>
        </w:rPr>
        <w:t xml:space="preserve">которым в ближайшее время исполнится 18 лет, </w:t>
      </w:r>
      <w:r w:rsidR="003E5944">
        <w:rPr>
          <w:rFonts w:ascii="Times New Roman" w:eastAsia="Times New Roman" w:hAnsi="Times New Roman" w:cs="Times New Roman"/>
          <w:sz w:val="24"/>
          <w:szCs w:val="24"/>
        </w:rPr>
        <w:t xml:space="preserve">СМС-сообщения </w:t>
      </w:r>
      <w:r>
        <w:rPr>
          <w:rFonts w:ascii="Times New Roman" w:eastAsia="Times New Roman" w:hAnsi="Times New Roman" w:cs="Times New Roman"/>
          <w:sz w:val="24"/>
          <w:szCs w:val="24"/>
        </w:rPr>
        <w:t>о необходимости подтверждения права на получение повышенной фиксированной выплаты к пенсии.</w:t>
      </w:r>
    </w:p>
    <w:p w:rsidR="002B75EA" w:rsidRDefault="003E5944" w:rsidP="002B75EA">
      <w:pPr>
        <w:pStyle w:val="11"/>
        <w:pBdr>
          <w:top w:val="nil"/>
          <w:left w:val="nil"/>
          <w:bottom w:val="nil"/>
          <w:right w:val="nil"/>
          <w:between w:val="nil"/>
        </w:pBdr>
        <w:spacing w:before="280" w:after="280" w:line="360" w:lineRule="auto"/>
        <w:ind w:firstLine="719"/>
        <w:jc w:val="both"/>
        <w:rPr>
          <w:rFonts w:ascii="Times New Roman" w:hAnsi="Times New Roman" w:cs="Times New Roman"/>
          <w:sz w:val="24"/>
          <w:szCs w:val="24"/>
        </w:rPr>
      </w:pPr>
      <w:r w:rsidRPr="00B47F39">
        <w:rPr>
          <w:rFonts w:ascii="Times New Roman" w:hAnsi="Times New Roman" w:cs="Times New Roman"/>
          <w:sz w:val="24"/>
          <w:szCs w:val="24"/>
        </w:rPr>
        <w:t>«</w:t>
      </w:r>
      <w:r w:rsidR="004A76C3">
        <w:rPr>
          <w:rFonts w:ascii="Times New Roman" w:hAnsi="Times New Roman" w:cs="Times New Roman"/>
          <w:sz w:val="24"/>
          <w:szCs w:val="24"/>
        </w:rPr>
        <w:t xml:space="preserve">До 1 апреля 2025 года родителям-пенсионерам необходимо подтвердить право на получение повышенной фиксированной выплаты к пенсии за </w:t>
      </w:r>
      <w:r w:rsidR="003972ED">
        <w:rPr>
          <w:rFonts w:ascii="Times New Roman" w:hAnsi="Times New Roman" w:cs="Times New Roman"/>
          <w:sz w:val="24"/>
          <w:szCs w:val="24"/>
        </w:rPr>
        <w:t>иждивенца. Ф</w:t>
      </w:r>
      <w:r w:rsidR="003972ED" w:rsidRPr="006E640E">
        <w:rPr>
          <w:rFonts w:ascii="Times New Roman" w:eastAsia="Times New Roman" w:hAnsi="Times New Roman" w:cs="Times New Roman"/>
          <w:sz w:val="24"/>
          <w:szCs w:val="24"/>
        </w:rPr>
        <w:t xml:space="preserve">акт учёбы подтверждается справкой из учебного заведения. Право на повышенную выплату утрачивается при отчислении студента из учебного заведения, переводе на заочную, вечернюю, дистанционную форму обучения или при трудоустройстве. Об этих обстоятельствах необходимо </w:t>
      </w:r>
      <w:r w:rsidR="003972ED">
        <w:rPr>
          <w:rFonts w:ascii="Times New Roman" w:eastAsia="Times New Roman" w:hAnsi="Times New Roman" w:cs="Times New Roman"/>
          <w:sz w:val="24"/>
          <w:szCs w:val="24"/>
        </w:rPr>
        <w:t>с</w:t>
      </w:r>
      <w:r w:rsidR="003972ED" w:rsidRPr="006E640E">
        <w:rPr>
          <w:rFonts w:ascii="Times New Roman" w:eastAsia="Times New Roman" w:hAnsi="Times New Roman" w:cs="Times New Roman"/>
          <w:sz w:val="24"/>
          <w:szCs w:val="24"/>
        </w:rPr>
        <w:t>ообщить в клиентскую службу Отделения</w:t>
      </w:r>
      <w:r w:rsidRPr="00B47F39">
        <w:rPr>
          <w:rFonts w:ascii="Times New Roman" w:hAnsi="Times New Roman" w:cs="Times New Roman"/>
          <w:sz w:val="24"/>
          <w:szCs w:val="24"/>
        </w:rPr>
        <w:t xml:space="preserve">», — напомнила </w:t>
      </w:r>
      <w:r w:rsidRPr="00B47F39">
        <w:rPr>
          <w:rFonts w:ascii="Times New Roman" w:hAnsi="Times New Roman" w:cs="Times New Roman"/>
          <w:b/>
          <w:sz w:val="24"/>
          <w:szCs w:val="24"/>
        </w:rPr>
        <w:t>Елена Лапко</w:t>
      </w:r>
      <w:r w:rsidRPr="00B47F39">
        <w:rPr>
          <w:rFonts w:ascii="Times New Roman" w:hAnsi="Times New Roman" w:cs="Times New Roman"/>
          <w:sz w:val="24"/>
          <w:szCs w:val="24"/>
        </w:rPr>
        <w:t>, управляющий Отделением СФР по Красноярскому краю.</w:t>
      </w:r>
    </w:p>
    <w:p w:rsidR="006D3D2C" w:rsidRDefault="002B75EA" w:rsidP="002F64CA">
      <w:pPr>
        <w:pStyle w:val="11"/>
        <w:pBdr>
          <w:top w:val="nil"/>
          <w:left w:val="nil"/>
          <w:bottom w:val="nil"/>
          <w:right w:val="nil"/>
          <w:between w:val="nil"/>
        </w:pBdr>
        <w:spacing w:before="280" w:after="280" w:line="360" w:lineRule="auto"/>
        <w:ind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Зая</w:t>
      </w:r>
      <w:r w:rsidRPr="006E640E">
        <w:rPr>
          <w:rFonts w:ascii="Times New Roman" w:eastAsia="Times New Roman" w:hAnsi="Times New Roman" w:cs="Times New Roman"/>
          <w:sz w:val="24"/>
          <w:szCs w:val="24"/>
        </w:rPr>
        <w:t xml:space="preserve">вление на получение доплаты за детей можно подать на портале </w:t>
      </w:r>
      <w:proofErr w:type="spellStart"/>
      <w:r w:rsidRPr="006E640E">
        <w:rPr>
          <w:rFonts w:ascii="Times New Roman" w:eastAsia="Times New Roman" w:hAnsi="Times New Roman" w:cs="Times New Roman"/>
          <w:sz w:val="24"/>
          <w:szCs w:val="24"/>
        </w:rPr>
        <w:t>госуслуг</w:t>
      </w:r>
      <w:proofErr w:type="spellEnd"/>
      <w:r w:rsidRPr="006E640E">
        <w:rPr>
          <w:rFonts w:ascii="Times New Roman" w:eastAsia="Times New Roman" w:hAnsi="Times New Roman" w:cs="Times New Roman"/>
          <w:sz w:val="24"/>
          <w:szCs w:val="24"/>
        </w:rPr>
        <w:t xml:space="preserve"> или лично в клиентской службе Отделения СФР по </w:t>
      </w:r>
      <w:r>
        <w:rPr>
          <w:rFonts w:ascii="Times New Roman" w:eastAsia="Times New Roman" w:hAnsi="Times New Roman" w:cs="Times New Roman"/>
          <w:sz w:val="24"/>
          <w:szCs w:val="24"/>
        </w:rPr>
        <w:t>Красноярскому краю</w:t>
      </w:r>
      <w:r w:rsidRPr="006E640E">
        <w:rPr>
          <w:rFonts w:ascii="Times New Roman" w:eastAsia="Times New Roman" w:hAnsi="Times New Roman" w:cs="Times New Roman"/>
          <w:sz w:val="24"/>
          <w:szCs w:val="24"/>
        </w:rPr>
        <w:t>. Если ребенок родился после 1 января 2024 году, надбавка назначается беззаявительно.</w:t>
      </w:r>
    </w:p>
    <w:p w:rsidR="00485987" w:rsidRPr="00485987" w:rsidRDefault="00B47F39" w:rsidP="006D3D2C">
      <w:pPr>
        <w:pStyle w:val="11"/>
        <w:pBdr>
          <w:top w:val="nil"/>
          <w:left w:val="nil"/>
          <w:bottom w:val="nil"/>
          <w:right w:val="nil"/>
          <w:between w:val="nil"/>
        </w:pBdr>
        <w:spacing w:before="280" w:after="280" w:line="360" w:lineRule="auto"/>
        <w:ind w:firstLine="719"/>
        <w:jc w:val="both"/>
        <w:rPr>
          <w:rFonts w:ascii="Times New Roman" w:hAnsi="Times New Roman" w:cs="Times New Roman"/>
          <w:sz w:val="24"/>
          <w:szCs w:val="24"/>
        </w:rPr>
      </w:pPr>
      <w:r w:rsidRPr="00B47F39">
        <w:rPr>
          <w:rFonts w:ascii="Times New Roman" w:hAnsi="Times New Roman"/>
          <w:color w:val="000000"/>
          <w:sz w:val="24"/>
          <w:szCs w:val="24"/>
        </w:rPr>
        <w:t>Если у вас остались вопросы, вы можете обратиться к специалистам Отделения СФР по Красноярскому краю по телефону контакт-центра: 8-800-100-00-01 (звонок бесплатный</w:t>
      </w:r>
      <w:r w:rsidRPr="00B47F39">
        <w:rPr>
          <w:rFonts w:ascii="Times New Roman" w:hAnsi="Times New Roman"/>
          <w:sz w:val="24"/>
          <w:szCs w:val="24"/>
        </w:rPr>
        <w:t xml:space="preserve">, режим работы: </w:t>
      </w:r>
      <w:proofErr w:type="spellStart"/>
      <w:proofErr w:type="gramStart"/>
      <w:r w:rsidRPr="00B47F39">
        <w:rPr>
          <w:rFonts w:ascii="Times New Roman" w:hAnsi="Times New Roman"/>
          <w:sz w:val="24"/>
          <w:szCs w:val="24"/>
        </w:rPr>
        <w:t>пн</w:t>
      </w:r>
      <w:proofErr w:type="spellEnd"/>
      <w:proofErr w:type="gramEnd"/>
      <w:r w:rsidRPr="00B47F39">
        <w:rPr>
          <w:rFonts w:ascii="Times New Roman" w:hAnsi="Times New Roman"/>
          <w:sz w:val="24"/>
          <w:szCs w:val="24"/>
        </w:rPr>
        <w:t xml:space="preserve"> - </w:t>
      </w:r>
      <w:proofErr w:type="spellStart"/>
      <w:r w:rsidRPr="00B47F39">
        <w:rPr>
          <w:rFonts w:ascii="Times New Roman" w:hAnsi="Times New Roman"/>
          <w:sz w:val="24"/>
          <w:szCs w:val="24"/>
        </w:rPr>
        <w:t>чт</w:t>
      </w:r>
      <w:proofErr w:type="spellEnd"/>
      <w:r w:rsidRPr="00B47F39">
        <w:rPr>
          <w:rFonts w:ascii="Times New Roman" w:hAnsi="Times New Roman"/>
          <w:sz w:val="24"/>
          <w:szCs w:val="24"/>
        </w:rPr>
        <w:t xml:space="preserve"> с 8:00 до 17:00, в </w:t>
      </w:r>
      <w:proofErr w:type="spellStart"/>
      <w:r w:rsidRPr="00B47F39">
        <w:rPr>
          <w:rFonts w:ascii="Times New Roman" w:hAnsi="Times New Roman"/>
          <w:sz w:val="24"/>
          <w:szCs w:val="24"/>
        </w:rPr>
        <w:t>пт</w:t>
      </w:r>
      <w:proofErr w:type="spellEnd"/>
      <w:r w:rsidRPr="00B47F39">
        <w:rPr>
          <w:rFonts w:ascii="Times New Roman" w:hAnsi="Times New Roman"/>
          <w:sz w:val="24"/>
          <w:szCs w:val="24"/>
        </w:rPr>
        <w:t xml:space="preserve"> - с 8:00 до 16:00)</w:t>
      </w:r>
      <w:r w:rsidRPr="00B47F39">
        <w:rPr>
          <w:rFonts w:ascii="Times New Roman" w:hAnsi="Times New Roman"/>
          <w:color w:val="000000"/>
          <w:sz w:val="24"/>
          <w:szCs w:val="24"/>
        </w:rPr>
        <w:t xml:space="preserve"> и в клиентские службы, адреса которых и график работы размещены на сайте ОСФР: </w:t>
      </w:r>
      <w:hyperlink r:id="rId7" w:history="1">
        <w:r w:rsidRPr="00B47F39">
          <w:rPr>
            <w:rStyle w:val="a5"/>
            <w:rFonts w:ascii="Times New Roman" w:hAnsi="Times New Roman"/>
            <w:sz w:val="24"/>
            <w:szCs w:val="24"/>
          </w:rPr>
          <w:t>https://sfr.gov.ru/branches/krasnoyarsk/</w:t>
        </w:r>
      </w:hyperlink>
    </w:p>
    <w:p w:rsidR="002F64CA" w:rsidRPr="002F64CA" w:rsidRDefault="002F64CA" w:rsidP="002F64CA">
      <w:pPr>
        <w:pStyle w:val="11"/>
        <w:pBdr>
          <w:top w:val="nil"/>
          <w:left w:val="nil"/>
          <w:bottom w:val="nil"/>
          <w:right w:val="nil"/>
          <w:between w:val="nil"/>
        </w:pBdr>
        <w:spacing w:before="280" w:after="280" w:line="360" w:lineRule="auto"/>
        <w:ind w:firstLine="71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Пресс-служба ОСФР по Красноярскому краю </w:t>
      </w:r>
    </w:p>
    <w:p w:rsidR="003A7E36" w:rsidRDefault="002F64CA" w:rsidP="003E2946">
      <w:pPr>
        <w:pStyle w:val="11"/>
        <w:pBdr>
          <w:top w:val="nil"/>
          <w:left w:val="nil"/>
          <w:bottom w:val="nil"/>
          <w:right w:val="nil"/>
          <w:between w:val="nil"/>
        </w:pBdr>
        <w:rPr>
          <w:rFonts w:ascii="Times New Roman" w:eastAsia="Times New Roman" w:hAnsi="Times New Roman" w:cs="Times New Roman"/>
          <w:i/>
          <w:color w:val="000000"/>
          <w:sz w:val="22"/>
          <w:szCs w:val="22"/>
        </w:rPr>
      </w:pPr>
      <w:proofErr w:type="spellStart"/>
      <w:r>
        <w:rPr>
          <w:rFonts w:ascii="Times New Roman" w:eastAsia="Times New Roman" w:hAnsi="Times New Roman" w:cs="Times New Roman"/>
          <w:i/>
          <w:color w:val="000000"/>
          <w:sz w:val="22"/>
          <w:szCs w:val="22"/>
        </w:rPr>
        <w:t>Жабина</w:t>
      </w:r>
      <w:proofErr w:type="spellEnd"/>
      <w:r>
        <w:rPr>
          <w:rFonts w:ascii="Times New Roman" w:eastAsia="Times New Roman" w:hAnsi="Times New Roman" w:cs="Times New Roman"/>
          <w:i/>
          <w:color w:val="000000"/>
          <w:sz w:val="22"/>
          <w:szCs w:val="22"/>
        </w:rPr>
        <w:t xml:space="preserve"> Татьяна Николаевна,</w:t>
      </w:r>
    </w:p>
    <w:p w:rsidR="004642FF" w:rsidRPr="006D3D2C" w:rsidRDefault="003A7E36" w:rsidP="003E2946">
      <w:pPr>
        <w:pStyle w:val="1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8 950-995-06-05</w:t>
      </w:r>
      <w:r w:rsidR="002F64CA">
        <w:rPr>
          <w:rFonts w:ascii="Times New Roman" w:eastAsia="Times New Roman" w:hAnsi="Times New Roman" w:cs="Times New Roman"/>
          <w:i/>
          <w:color w:val="000000"/>
          <w:sz w:val="22"/>
          <w:szCs w:val="22"/>
        </w:rPr>
        <w:t xml:space="preserve"> </w:t>
      </w:r>
    </w:p>
    <w:sectPr w:rsidR="004642FF" w:rsidRPr="006D3D2C" w:rsidSect="00656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F64CA"/>
    <w:rsid w:val="000811BE"/>
    <w:rsid w:val="001B196B"/>
    <w:rsid w:val="001E21FA"/>
    <w:rsid w:val="002139A6"/>
    <w:rsid w:val="002B75EA"/>
    <w:rsid w:val="002E510E"/>
    <w:rsid w:val="002F64CA"/>
    <w:rsid w:val="00373553"/>
    <w:rsid w:val="003972ED"/>
    <w:rsid w:val="003A7E36"/>
    <w:rsid w:val="003E2946"/>
    <w:rsid w:val="003E5944"/>
    <w:rsid w:val="00400D98"/>
    <w:rsid w:val="00454CE4"/>
    <w:rsid w:val="004642FF"/>
    <w:rsid w:val="00485987"/>
    <w:rsid w:val="004A76C3"/>
    <w:rsid w:val="004F1390"/>
    <w:rsid w:val="00602D54"/>
    <w:rsid w:val="00621FF0"/>
    <w:rsid w:val="00637A49"/>
    <w:rsid w:val="006562B9"/>
    <w:rsid w:val="006D3D2C"/>
    <w:rsid w:val="0078627D"/>
    <w:rsid w:val="008031CB"/>
    <w:rsid w:val="00853F71"/>
    <w:rsid w:val="00887B0C"/>
    <w:rsid w:val="0089691E"/>
    <w:rsid w:val="009B5DEC"/>
    <w:rsid w:val="009C7B07"/>
    <w:rsid w:val="00A30F3A"/>
    <w:rsid w:val="00AB2E60"/>
    <w:rsid w:val="00AF458D"/>
    <w:rsid w:val="00B47F39"/>
    <w:rsid w:val="00C26035"/>
    <w:rsid w:val="00E02E0D"/>
    <w:rsid w:val="00ED1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B9"/>
  </w:style>
  <w:style w:type="paragraph" w:styleId="1">
    <w:name w:val="heading 1"/>
    <w:basedOn w:val="a"/>
    <w:link w:val="10"/>
    <w:uiPriority w:val="9"/>
    <w:qFormat/>
    <w:rsid w:val="009B5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F64CA"/>
    <w:pPr>
      <w:spacing w:after="0" w:line="240" w:lineRule="auto"/>
    </w:pPr>
    <w:rPr>
      <w:rFonts w:ascii="Calibri" w:eastAsia="Calibri" w:hAnsi="Calibri" w:cs="Calibri"/>
      <w:sz w:val="20"/>
      <w:szCs w:val="20"/>
    </w:rPr>
  </w:style>
  <w:style w:type="paragraph" w:styleId="a3">
    <w:name w:val="Balloon Text"/>
    <w:basedOn w:val="a"/>
    <w:link w:val="a4"/>
    <w:uiPriority w:val="99"/>
    <w:semiHidden/>
    <w:unhideWhenUsed/>
    <w:rsid w:val="002F64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4CA"/>
    <w:rPr>
      <w:rFonts w:ascii="Tahoma" w:hAnsi="Tahoma" w:cs="Tahoma"/>
      <w:sz w:val="16"/>
      <w:szCs w:val="16"/>
    </w:rPr>
  </w:style>
  <w:style w:type="character" w:customStyle="1" w:styleId="10">
    <w:name w:val="Заголовок 1 Знак"/>
    <w:basedOn w:val="a0"/>
    <w:link w:val="1"/>
    <w:uiPriority w:val="9"/>
    <w:rsid w:val="009B5DEC"/>
    <w:rPr>
      <w:rFonts w:ascii="Times New Roman" w:eastAsia="Times New Roman" w:hAnsi="Times New Roman" w:cs="Times New Roman"/>
      <w:b/>
      <w:bCs/>
      <w:kern w:val="36"/>
      <w:sz w:val="48"/>
      <w:szCs w:val="48"/>
    </w:rPr>
  </w:style>
  <w:style w:type="character" w:styleId="a5">
    <w:name w:val="Hyperlink"/>
    <w:uiPriority w:val="99"/>
    <w:unhideWhenUsed/>
    <w:rsid w:val="00B47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r.gov.ru/branches/krasnoyar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01E5-FF6A-4F44-AC80-49D00DA9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Жабина Татьяна Николаевна</dc:creator>
  <cp:lastModifiedBy>Жабина Татьяна Николаевна</cp:lastModifiedBy>
  <cp:revision>5</cp:revision>
  <cp:lastPrinted>2025-02-26T04:36:00Z</cp:lastPrinted>
  <dcterms:created xsi:type="dcterms:W3CDTF">2025-02-26T04:33:00Z</dcterms:created>
  <dcterms:modified xsi:type="dcterms:W3CDTF">2025-03-06T06:45:00Z</dcterms:modified>
</cp:coreProperties>
</file>